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6B" w:rsidRPr="00E467FD" w:rsidRDefault="008B0C6B" w:rsidP="008B0C6B">
      <w:pPr>
        <w:autoSpaceDE w:val="0"/>
        <w:autoSpaceDN w:val="0"/>
        <w:adjustRightInd w:val="0"/>
        <w:spacing w:after="0" w:line="240" w:lineRule="auto"/>
        <w:rPr>
          <w:rFonts w:cs="TTE15ED650t00"/>
          <w:sz w:val="28"/>
          <w:szCs w:val="28"/>
        </w:rPr>
      </w:pPr>
      <w:r w:rsidRPr="00E467FD">
        <w:rPr>
          <w:rFonts w:cs="Verdana"/>
          <w:b/>
          <w:bCs/>
          <w:iCs/>
          <w:color w:val="000000"/>
          <w:sz w:val="28"/>
          <w:szCs w:val="28"/>
        </w:rPr>
        <w:t xml:space="preserve">FASE  DI  LAVORO:  </w:t>
      </w:r>
      <w:r w:rsidRPr="00CA204E">
        <w:rPr>
          <w:rFonts w:cs="TTE15ED650t00"/>
          <w:b/>
          <w:sz w:val="28"/>
          <w:szCs w:val="28"/>
        </w:rPr>
        <w:t>Montaggio di Casseforme in Legno</w:t>
      </w:r>
    </w:p>
    <w:tbl>
      <w:tblPr>
        <w:tblpPr w:leftFromText="141" w:rightFromText="141" w:vertAnchor="text" w:tblpX="6239" w:tblpY="137"/>
        <w:tblW w:w="0" w:type="auto"/>
        <w:tblCellMar>
          <w:left w:w="70" w:type="dxa"/>
          <w:right w:w="70" w:type="dxa"/>
        </w:tblCellMar>
        <w:tblLook w:val="0000"/>
      </w:tblPr>
      <w:tblGrid>
        <w:gridCol w:w="3790"/>
      </w:tblGrid>
      <w:tr w:rsidR="008B0C6B" w:rsidTr="006A28B9">
        <w:trPr>
          <w:trHeight w:val="3002"/>
        </w:trPr>
        <w:tc>
          <w:tcPr>
            <w:tcW w:w="3790" w:type="dxa"/>
          </w:tcPr>
          <w:p w:rsidR="008B0C6B" w:rsidRDefault="008B0C6B" w:rsidP="006A28B9">
            <w:pPr>
              <w:autoSpaceDE w:val="0"/>
              <w:autoSpaceDN w:val="0"/>
              <w:adjustRightInd w:val="0"/>
              <w:spacing w:after="0" w:line="240" w:lineRule="auto"/>
              <w:rPr>
                <w:rFonts w:cs="TTE1C25C08t00"/>
              </w:rPr>
            </w:pPr>
            <w:r>
              <w:object w:dxaOrig="3600" w:dyaOrig="2700">
                <v:shape id="_x0000_i1025" type="#_x0000_t75" style="width:180pt;height:147.75pt" o:ole="">
                  <v:imagedata r:id="rId7" o:title=""/>
                </v:shape>
                <o:OLEObject Type="Embed" ProgID="PBrush" ShapeID="_x0000_i1025" DrawAspect="Content" ObjectID="_1300527233" r:id="rId8"/>
              </w:object>
            </w:r>
          </w:p>
        </w:tc>
      </w:tr>
    </w:tbl>
    <w:p w:rsidR="008B0C6B" w:rsidRPr="00536413" w:rsidRDefault="008B0C6B" w:rsidP="008B0C6B">
      <w:pPr>
        <w:autoSpaceDE w:val="0"/>
        <w:autoSpaceDN w:val="0"/>
        <w:adjustRightInd w:val="0"/>
        <w:spacing w:after="0" w:line="240" w:lineRule="auto"/>
        <w:rPr>
          <w:rFonts w:cs="TTE1C25C08t00"/>
        </w:rPr>
      </w:pPr>
      <w:r>
        <w:rPr>
          <w:rFonts w:cs="TTE1C25C08t00"/>
        </w:rPr>
        <w:t xml:space="preserve">                                                                                                                                          </w:t>
      </w:r>
      <w:r w:rsidRPr="00E467FD">
        <w:rPr>
          <w:rFonts w:cs="TTE1C25C08t00"/>
        </w:rPr>
        <w:t>In generale, il</w:t>
      </w:r>
      <w:r>
        <w:rPr>
          <w:rFonts w:cs="TTE1C25C08t00"/>
        </w:rPr>
        <w:t xml:space="preserve"> </w:t>
      </w:r>
      <w:r w:rsidRPr="00E467FD">
        <w:rPr>
          <w:rFonts w:cs="TTE1C25C08t00"/>
        </w:rPr>
        <w:t xml:space="preserve"> montaggio</w:t>
      </w:r>
      <w:r>
        <w:rPr>
          <w:rFonts w:cs="TTE1C25C08t00"/>
        </w:rPr>
        <w:t xml:space="preserve"> </w:t>
      </w:r>
      <w:r w:rsidRPr="00E467FD">
        <w:rPr>
          <w:rFonts w:cs="TTE1C25C08t00"/>
        </w:rPr>
        <w:t xml:space="preserve"> di casseforme</w:t>
      </w:r>
      <w:r>
        <w:rPr>
          <w:rFonts w:cs="TTE1C25C08t00"/>
        </w:rPr>
        <w:t xml:space="preserve"> </w:t>
      </w:r>
      <w:r w:rsidRPr="00E467FD">
        <w:rPr>
          <w:rFonts w:cs="TTE1C25C08t00"/>
        </w:rPr>
        <w:t xml:space="preserve"> in </w:t>
      </w:r>
      <w:r>
        <w:rPr>
          <w:rFonts w:cs="TTE1C25C08t00"/>
        </w:rPr>
        <w:t xml:space="preserve"> </w:t>
      </w:r>
      <w:r w:rsidRPr="00E467FD">
        <w:rPr>
          <w:rFonts w:cs="TTE1C25C08t00"/>
        </w:rPr>
        <w:t xml:space="preserve">legno </w:t>
      </w:r>
      <w:r>
        <w:rPr>
          <w:rFonts w:cs="TTE1C25C08t00"/>
        </w:rPr>
        <w:t xml:space="preserve"> </w:t>
      </w:r>
      <w:r w:rsidRPr="00E467FD">
        <w:rPr>
          <w:rFonts w:cs="TTE1C25C08t00"/>
        </w:rPr>
        <w:t>ed</w:t>
      </w:r>
      <w:r>
        <w:rPr>
          <w:rFonts w:cs="TTE1C25C08t00"/>
        </w:rPr>
        <w:t xml:space="preserve"> </w:t>
      </w:r>
      <w:r w:rsidRPr="00E467FD">
        <w:rPr>
          <w:rFonts w:cs="TTE1C25C08t00"/>
        </w:rPr>
        <w:t xml:space="preserve"> il</w:t>
      </w:r>
      <w:r>
        <w:rPr>
          <w:rFonts w:cs="TTE1C25C08t00"/>
        </w:rPr>
        <w:t xml:space="preserve"> </w:t>
      </w:r>
      <w:r w:rsidRPr="00E467FD">
        <w:rPr>
          <w:rFonts w:cs="TTE1C25C08t00"/>
        </w:rPr>
        <w:t xml:space="preserve"> relativo smontaggio avviene secondo le</w:t>
      </w:r>
      <w:r>
        <w:rPr>
          <w:rFonts w:cs="TTE1C25C08t00"/>
        </w:rPr>
        <w:t xml:space="preserve">  </w:t>
      </w:r>
      <w:r w:rsidRPr="00536413">
        <w:rPr>
          <w:rFonts w:cs="TTE1C25C08t00"/>
        </w:rPr>
        <w:t>seguenti modalità:</w:t>
      </w:r>
    </w:p>
    <w:p w:rsidR="008B0C6B" w:rsidRPr="00536413" w:rsidRDefault="008B0C6B" w:rsidP="008B0C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TE1C25C08t00"/>
        </w:rPr>
      </w:pPr>
      <w:r w:rsidRPr="00536413">
        <w:rPr>
          <w:rFonts w:cs="TTE1C25C08t00"/>
        </w:rPr>
        <w:t>Approvvigionamento e movimentazione delle casserature ed armature di sostegno</w:t>
      </w:r>
    </w:p>
    <w:p w:rsidR="008B0C6B" w:rsidRPr="00536413" w:rsidRDefault="008B0C6B" w:rsidP="008B0C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TE1C25C08t00"/>
        </w:rPr>
      </w:pPr>
      <w:r w:rsidRPr="00536413">
        <w:rPr>
          <w:rFonts w:cs="TTE1C25C08t00"/>
        </w:rPr>
        <w:t xml:space="preserve">Allestimento dell’area necessaria per la lavorazione dei </w:t>
      </w:r>
      <w:r w:rsidRPr="00536413">
        <w:rPr>
          <w:rFonts w:cs="TTE174BD78t00"/>
        </w:rPr>
        <w:t>casseri</w:t>
      </w:r>
    </w:p>
    <w:p w:rsidR="008B0C6B" w:rsidRPr="00536413" w:rsidRDefault="008B0C6B" w:rsidP="008B0C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TE1C25C08t00"/>
        </w:rPr>
      </w:pPr>
      <w:r w:rsidRPr="00536413">
        <w:rPr>
          <w:rFonts w:cs="TTE1C25C08t00"/>
        </w:rPr>
        <w:t>Realizzazione delle tavole in legno mediante taglio con sega circolare</w:t>
      </w:r>
    </w:p>
    <w:p w:rsidR="008B0C6B" w:rsidRPr="00536413" w:rsidRDefault="008B0C6B" w:rsidP="008B0C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TE1C25C08t00"/>
        </w:rPr>
      </w:pPr>
      <w:r w:rsidRPr="00536413">
        <w:rPr>
          <w:rFonts w:cs="TTE1C25C08t00"/>
        </w:rPr>
        <w:t xml:space="preserve">Posizionamento dei </w:t>
      </w:r>
      <w:r w:rsidRPr="00536413">
        <w:rPr>
          <w:rFonts w:cs="TTE174BD78t00"/>
        </w:rPr>
        <w:t xml:space="preserve">casseri </w:t>
      </w:r>
      <w:r w:rsidRPr="00536413">
        <w:rPr>
          <w:rFonts w:cs="TTE1C25C08t00"/>
        </w:rPr>
        <w:t xml:space="preserve">e delle relative armature di sostegno, </w:t>
      </w:r>
      <w:r w:rsidRPr="00536413">
        <w:rPr>
          <w:rFonts w:cs="TTE174BD78t00"/>
        </w:rPr>
        <w:t>banchinaggio</w:t>
      </w:r>
      <w:r w:rsidRPr="00536413">
        <w:rPr>
          <w:rFonts w:cs="TTE1C25C08t00"/>
        </w:rPr>
        <w:t>, secondo</w:t>
      </w:r>
      <w:r>
        <w:rPr>
          <w:rFonts w:cs="TTE1C25C08t00"/>
        </w:rPr>
        <w:t xml:space="preserve"> </w:t>
      </w:r>
      <w:r w:rsidRPr="00536413">
        <w:rPr>
          <w:rFonts w:cs="TTE1C25C08t00"/>
        </w:rPr>
        <w:t>le modalità di progetto</w:t>
      </w:r>
    </w:p>
    <w:p w:rsidR="008B0C6B" w:rsidRPr="00536413" w:rsidRDefault="008B0C6B" w:rsidP="008B0C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TE1C25C08t00"/>
        </w:rPr>
      </w:pPr>
      <w:r w:rsidRPr="00536413">
        <w:rPr>
          <w:rFonts w:cs="TTE1C25C08t00"/>
        </w:rPr>
        <w:t>Disarmo delle casserature</w:t>
      </w:r>
    </w:p>
    <w:p w:rsidR="008B0C6B" w:rsidRPr="00B075D5" w:rsidRDefault="008B0C6B" w:rsidP="008B0C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536413">
        <w:rPr>
          <w:rFonts w:cs="TTE1C25C08t00"/>
        </w:rPr>
        <w:t>Accatastamento e pulizia delle casserature</w:t>
      </w:r>
      <w:r w:rsidRPr="00536413">
        <w:rPr>
          <w:rFonts w:ascii="TTE1C25C08t00" w:hAnsi="TTE1C25C08t00" w:cs="TTE1C25C08t00"/>
          <w:sz w:val="19"/>
          <w:szCs w:val="19"/>
        </w:rPr>
        <w:t>.</w:t>
      </w:r>
      <w:r>
        <w:rPr>
          <w:rFonts w:ascii="TTE1C25C08t00" w:hAnsi="TTE1C25C08t00" w:cs="TTE1C25C08t00"/>
          <w:sz w:val="19"/>
          <w:szCs w:val="19"/>
        </w:rPr>
        <w:t xml:space="preserve"> </w:t>
      </w:r>
    </w:p>
    <w:p w:rsidR="008B0C6B" w:rsidRDefault="008B0C6B" w:rsidP="008B0C6B">
      <w:pPr>
        <w:autoSpaceDE w:val="0"/>
        <w:autoSpaceDN w:val="0"/>
        <w:adjustRightInd w:val="0"/>
        <w:spacing w:after="0" w:line="240" w:lineRule="auto"/>
        <w:rPr>
          <w:rFonts w:ascii="TTE1008968t00" w:hAnsi="TTE1008968t00" w:cs="TTE1008968t00"/>
          <w:sz w:val="23"/>
          <w:szCs w:val="23"/>
        </w:rPr>
      </w:pPr>
    </w:p>
    <w:p w:rsidR="008B0C6B" w:rsidRPr="00536413" w:rsidRDefault="008B0C6B" w:rsidP="008B0C6B">
      <w:pPr>
        <w:autoSpaceDE w:val="0"/>
        <w:autoSpaceDN w:val="0"/>
        <w:adjustRightInd w:val="0"/>
        <w:spacing w:after="0" w:line="240" w:lineRule="auto"/>
        <w:rPr>
          <w:rFonts w:cs="TTE1008968t00"/>
          <w:b/>
          <w:sz w:val="24"/>
          <w:szCs w:val="24"/>
        </w:rPr>
      </w:pPr>
      <w:r w:rsidRPr="00536413">
        <w:rPr>
          <w:rFonts w:cs="TTE1008968t00"/>
          <w:b/>
          <w:sz w:val="24"/>
          <w:szCs w:val="24"/>
        </w:rPr>
        <w:t>Macchine/Attrezzature</w:t>
      </w:r>
    </w:p>
    <w:p w:rsidR="008B0C6B" w:rsidRPr="00536413" w:rsidRDefault="008B0C6B" w:rsidP="008B0C6B">
      <w:pPr>
        <w:autoSpaceDE w:val="0"/>
        <w:autoSpaceDN w:val="0"/>
        <w:adjustRightInd w:val="0"/>
        <w:spacing w:after="0" w:line="240" w:lineRule="auto"/>
        <w:rPr>
          <w:rFonts w:cs="TTE1C25C08t00"/>
        </w:rPr>
      </w:pPr>
      <w:r w:rsidRPr="00536413">
        <w:rPr>
          <w:rFonts w:cs="TTE1C25C08t00"/>
        </w:rPr>
        <w:t>Nella fase di lavoro oggetto della valutazione sono utilizzate le seguenti</w:t>
      </w:r>
      <w:r>
        <w:rPr>
          <w:rFonts w:cs="TTE1C25C08t00"/>
        </w:rPr>
        <w:t xml:space="preserve"> </w:t>
      </w:r>
      <w:r w:rsidRPr="00536413">
        <w:rPr>
          <w:rFonts w:cs="TTE1C25C08t00"/>
        </w:rPr>
        <w:t>Attrezzature/Macchine:</w:t>
      </w:r>
    </w:p>
    <w:p w:rsidR="008B0C6B" w:rsidRDefault="008B0C6B" w:rsidP="008B0C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E1C25C08t00"/>
        </w:rPr>
      </w:pPr>
      <w:r w:rsidRPr="00536413">
        <w:rPr>
          <w:rFonts w:cs="Courier"/>
        </w:rPr>
        <w:t xml:space="preserve"> </w:t>
      </w:r>
      <w:r w:rsidRPr="00536413">
        <w:rPr>
          <w:rFonts w:cs="TTE1C25C08t00"/>
        </w:rPr>
        <w:t>Utensili manuali di uso comune</w:t>
      </w:r>
    </w:p>
    <w:p w:rsidR="008B0C6B" w:rsidRDefault="008B0C6B" w:rsidP="008B0C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E1C25C08t00"/>
        </w:rPr>
      </w:pPr>
      <w:r w:rsidRPr="00536413">
        <w:rPr>
          <w:rFonts w:cs="TTE1C25C08t00"/>
        </w:rPr>
        <w:t>Sega circolare</w:t>
      </w:r>
    </w:p>
    <w:p w:rsidR="008B0C6B" w:rsidRDefault="008B0C6B" w:rsidP="008B0C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E1C25C08t00"/>
        </w:rPr>
      </w:pPr>
      <w:r w:rsidRPr="00536413">
        <w:rPr>
          <w:rFonts w:cs="Courier"/>
        </w:rPr>
        <w:t xml:space="preserve"> </w:t>
      </w:r>
      <w:r w:rsidRPr="00536413">
        <w:rPr>
          <w:rFonts w:cs="TTE1C25C08t00"/>
        </w:rPr>
        <w:t>Sega a denti fini</w:t>
      </w:r>
    </w:p>
    <w:p w:rsidR="008B0C6B" w:rsidRDefault="008B0C6B" w:rsidP="008B0C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E1C25C08t00"/>
        </w:rPr>
      </w:pPr>
      <w:r w:rsidRPr="00536413">
        <w:rPr>
          <w:rFonts w:cs="TTE1C25C08t00"/>
        </w:rPr>
        <w:t>Gru o altri sistemi di sollevamento</w:t>
      </w:r>
    </w:p>
    <w:p w:rsidR="008B0C6B" w:rsidRPr="00536413" w:rsidRDefault="008B0C6B" w:rsidP="008B0C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E1C25C08t00"/>
        </w:rPr>
      </w:pPr>
      <w:r w:rsidRPr="00536413">
        <w:rPr>
          <w:rFonts w:cs="Courier"/>
        </w:rPr>
        <w:t xml:space="preserve"> </w:t>
      </w:r>
      <w:r w:rsidRPr="00536413">
        <w:rPr>
          <w:rFonts w:cs="TTE1C25C08t00"/>
        </w:rPr>
        <w:t>Macchina pulisci pannelli</w:t>
      </w:r>
    </w:p>
    <w:p w:rsidR="008B0C6B" w:rsidRPr="00536413" w:rsidRDefault="008B0C6B" w:rsidP="008B0C6B">
      <w:pPr>
        <w:autoSpaceDE w:val="0"/>
        <w:autoSpaceDN w:val="0"/>
        <w:adjustRightInd w:val="0"/>
        <w:spacing w:after="0" w:line="240" w:lineRule="auto"/>
        <w:rPr>
          <w:rFonts w:cs="TTE1008968t00"/>
          <w:b/>
          <w:sz w:val="24"/>
          <w:szCs w:val="24"/>
        </w:rPr>
      </w:pPr>
      <w:r w:rsidRPr="00536413">
        <w:rPr>
          <w:rFonts w:cs="TTE1008968t00"/>
          <w:b/>
          <w:sz w:val="24"/>
          <w:szCs w:val="24"/>
        </w:rPr>
        <w:t>Sostanze Pericolose</w:t>
      </w:r>
    </w:p>
    <w:p w:rsidR="008B0C6B" w:rsidRPr="00536413" w:rsidRDefault="008B0C6B" w:rsidP="008B0C6B">
      <w:pPr>
        <w:autoSpaceDE w:val="0"/>
        <w:autoSpaceDN w:val="0"/>
        <w:adjustRightInd w:val="0"/>
        <w:spacing w:after="0" w:line="240" w:lineRule="auto"/>
        <w:rPr>
          <w:rFonts w:cs="TTE1C25C08t00"/>
        </w:rPr>
      </w:pPr>
      <w:r w:rsidRPr="00536413">
        <w:rPr>
          <w:rFonts w:cs="TTE1C25C08t00"/>
        </w:rPr>
        <w:t>Nella fase di lavoro oggetto della valutazione gli operatori vengono esposti a:</w:t>
      </w:r>
    </w:p>
    <w:p w:rsidR="008B0C6B" w:rsidRPr="00536413" w:rsidRDefault="008B0C6B" w:rsidP="008B0C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E1C25C08t00"/>
        </w:rPr>
      </w:pPr>
      <w:r w:rsidRPr="00536413">
        <w:rPr>
          <w:rFonts w:cs="TTE1C25C08t00"/>
        </w:rPr>
        <w:t>Disarmanti</w:t>
      </w:r>
    </w:p>
    <w:p w:rsidR="008B0C6B" w:rsidRPr="00536413" w:rsidRDefault="008B0C6B" w:rsidP="008B0C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E1C25C08t00"/>
        </w:rPr>
      </w:pPr>
      <w:r w:rsidRPr="00536413">
        <w:rPr>
          <w:rFonts w:cs="TTE1C25C08t00"/>
        </w:rPr>
        <w:t>Polveri di legno (casserature)</w:t>
      </w:r>
    </w:p>
    <w:p w:rsidR="008B0C6B" w:rsidRPr="00536413" w:rsidRDefault="008B0C6B" w:rsidP="008B0C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536413">
        <w:rPr>
          <w:rFonts w:cs="TTE1C25C08t00"/>
        </w:rPr>
        <w:t>Gas di scarico provenienti dalle macchine operatrici</w:t>
      </w:r>
    </w:p>
    <w:p w:rsidR="008B0C6B" w:rsidRPr="00536413" w:rsidRDefault="008B0C6B" w:rsidP="008B0C6B">
      <w:pPr>
        <w:autoSpaceDE w:val="0"/>
        <w:autoSpaceDN w:val="0"/>
        <w:adjustRightInd w:val="0"/>
        <w:spacing w:after="0" w:line="240" w:lineRule="auto"/>
        <w:rPr>
          <w:rFonts w:cs="TTE1008968t00"/>
          <w:b/>
          <w:sz w:val="24"/>
          <w:szCs w:val="24"/>
        </w:rPr>
      </w:pPr>
      <w:r w:rsidRPr="00536413">
        <w:rPr>
          <w:rFonts w:cs="TTE1008968t00"/>
          <w:b/>
          <w:sz w:val="24"/>
          <w:szCs w:val="24"/>
        </w:rPr>
        <w:t>Opere Provvisionali</w:t>
      </w:r>
    </w:p>
    <w:p w:rsidR="008B0C6B" w:rsidRPr="00536413" w:rsidRDefault="008B0C6B" w:rsidP="008B0C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E1C25C08t00"/>
        </w:rPr>
      </w:pPr>
      <w:r w:rsidRPr="00536413">
        <w:rPr>
          <w:rFonts w:cs="TTE1C25C08t00"/>
        </w:rPr>
        <w:t>Nella fase di lavoro oggetto della valutazione sono utilizzate le seguenti Opere Provvisionali:</w:t>
      </w:r>
    </w:p>
    <w:p w:rsidR="008B0C6B" w:rsidRPr="00536413" w:rsidRDefault="008B0C6B" w:rsidP="008B0C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E1C25C08t00"/>
        </w:rPr>
      </w:pPr>
      <w:r w:rsidRPr="00536413">
        <w:rPr>
          <w:rFonts w:cs="TTE1C25C08t00"/>
        </w:rPr>
        <w:t>Ponteggi</w:t>
      </w:r>
    </w:p>
    <w:p w:rsidR="008B0C6B" w:rsidRPr="00536413" w:rsidRDefault="008B0C6B" w:rsidP="008B0C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536413">
        <w:rPr>
          <w:rFonts w:cs="TTE1C25C08t00"/>
        </w:rPr>
        <w:t>Ponti su cavalletti</w:t>
      </w:r>
    </w:p>
    <w:p w:rsidR="008B0C6B" w:rsidRPr="00F25133" w:rsidRDefault="008B0C6B" w:rsidP="008B0C6B">
      <w:pPr>
        <w:autoSpaceDE w:val="0"/>
        <w:autoSpaceDN w:val="0"/>
        <w:adjustRightInd w:val="0"/>
        <w:rPr>
          <w:rFonts w:cs="Verdana"/>
          <w:b/>
          <w:bCs/>
          <w:color w:val="000000"/>
          <w:sz w:val="24"/>
          <w:szCs w:val="24"/>
        </w:rPr>
      </w:pPr>
      <w:r w:rsidRPr="00F25133">
        <w:rPr>
          <w:rFonts w:cs="Verdana"/>
          <w:b/>
          <w:bCs/>
          <w:color w:val="000000"/>
          <w:sz w:val="24"/>
          <w:szCs w:val="24"/>
        </w:rPr>
        <w:t>VALUTAZIONE E CLASSIFICAZIONE DEI RISCHI</w:t>
      </w:r>
    </w:p>
    <w:tbl>
      <w:tblPr>
        <w:tblStyle w:val="Grigliatabella"/>
        <w:tblW w:w="0" w:type="auto"/>
        <w:tblLook w:val="04A0"/>
      </w:tblPr>
      <w:tblGrid>
        <w:gridCol w:w="2624"/>
        <w:gridCol w:w="2407"/>
        <w:gridCol w:w="2412"/>
        <w:gridCol w:w="2411"/>
      </w:tblGrid>
      <w:tr w:rsidR="008B0C6B" w:rsidRPr="00480731" w:rsidTr="006A28B9">
        <w:tc>
          <w:tcPr>
            <w:tcW w:w="2624" w:type="dxa"/>
            <w:shd w:val="clear" w:color="auto" w:fill="FFC000"/>
          </w:tcPr>
          <w:p w:rsidR="008B0C6B" w:rsidRPr="00480731" w:rsidRDefault="008B0C6B" w:rsidP="006A28B9">
            <w:pPr>
              <w:rPr>
                <w:b/>
                <w:sz w:val="24"/>
                <w:szCs w:val="24"/>
              </w:rPr>
            </w:pPr>
            <w:r w:rsidRPr="00480731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2407" w:type="dxa"/>
            <w:shd w:val="clear" w:color="auto" w:fill="FFC000"/>
          </w:tcPr>
          <w:p w:rsidR="008B0C6B" w:rsidRDefault="008B0C6B" w:rsidP="006A28B9">
            <w:pPr>
              <w:rPr>
                <w:b/>
                <w:sz w:val="24"/>
                <w:szCs w:val="24"/>
              </w:rPr>
            </w:pPr>
            <w:r w:rsidRPr="00480731">
              <w:rPr>
                <w:b/>
                <w:sz w:val="24"/>
                <w:szCs w:val="24"/>
              </w:rPr>
              <w:t>Liv. Probalità</w:t>
            </w:r>
          </w:p>
          <w:p w:rsidR="008B0C6B" w:rsidRPr="0093061F" w:rsidRDefault="008B0C6B" w:rsidP="006A28B9">
            <w:pPr>
              <w:rPr>
                <w:b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C000"/>
          </w:tcPr>
          <w:p w:rsidR="008B0C6B" w:rsidRPr="00480731" w:rsidRDefault="008B0C6B" w:rsidP="006A28B9">
            <w:pPr>
              <w:rPr>
                <w:b/>
                <w:sz w:val="24"/>
                <w:szCs w:val="24"/>
              </w:rPr>
            </w:pPr>
            <w:r w:rsidRPr="00480731">
              <w:rPr>
                <w:b/>
                <w:sz w:val="24"/>
                <w:szCs w:val="24"/>
              </w:rPr>
              <w:t>Entità danno</w:t>
            </w:r>
          </w:p>
        </w:tc>
        <w:tc>
          <w:tcPr>
            <w:tcW w:w="2411" w:type="dxa"/>
            <w:shd w:val="clear" w:color="auto" w:fill="FFC000"/>
          </w:tcPr>
          <w:p w:rsidR="008B0C6B" w:rsidRPr="00480731" w:rsidRDefault="008B0C6B" w:rsidP="006A28B9">
            <w:pPr>
              <w:rPr>
                <w:b/>
                <w:sz w:val="24"/>
                <w:szCs w:val="24"/>
              </w:rPr>
            </w:pPr>
            <w:r w:rsidRPr="00480731">
              <w:rPr>
                <w:b/>
                <w:sz w:val="24"/>
                <w:szCs w:val="24"/>
              </w:rPr>
              <w:t>Classe</w:t>
            </w:r>
          </w:p>
        </w:tc>
      </w:tr>
      <w:tr w:rsidR="008B0C6B" w:rsidRPr="0093061F" w:rsidTr="006A28B9">
        <w:tc>
          <w:tcPr>
            <w:tcW w:w="2624" w:type="dxa"/>
          </w:tcPr>
          <w:p w:rsidR="008B0C6B" w:rsidRPr="002D1807" w:rsidRDefault="008B0C6B" w:rsidP="006A28B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D1807">
              <w:rPr>
                <w:rFonts w:cs="Arial"/>
                <w:sz w:val="20"/>
                <w:szCs w:val="20"/>
              </w:rPr>
              <w:t>cadute d</w:t>
            </w:r>
            <w:r>
              <w:rPr>
                <w:rFonts w:cs="Arial"/>
                <w:sz w:val="20"/>
                <w:szCs w:val="20"/>
              </w:rPr>
              <w:t>all’alto (lavoratori</w:t>
            </w:r>
            <w:r w:rsidRPr="002D1807">
              <w:rPr>
                <w:rFonts w:cs="Arial"/>
                <w:sz w:val="20"/>
                <w:szCs w:val="20"/>
              </w:rPr>
              <w:t>);</w:t>
            </w:r>
          </w:p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:rsidR="008B0C6B" w:rsidRPr="00EB6770" w:rsidRDefault="008B0C6B" w:rsidP="006A28B9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Probabile</w:t>
            </w:r>
          </w:p>
          <w:p w:rsidR="008B0C6B" w:rsidRPr="00EB6770" w:rsidRDefault="008B0C6B" w:rsidP="006A28B9">
            <w:pPr>
              <w:jc w:val="both"/>
            </w:pPr>
          </w:p>
        </w:tc>
        <w:tc>
          <w:tcPr>
            <w:tcW w:w="2412" w:type="dxa"/>
          </w:tcPr>
          <w:p w:rsidR="008B0C6B" w:rsidRPr="00EB6770" w:rsidRDefault="008B0C6B" w:rsidP="006A28B9">
            <w:pPr>
              <w:jc w:val="both"/>
            </w:pPr>
            <w:r>
              <w:rPr>
                <w:rFonts w:cs="Verdana"/>
                <w:color w:val="000000"/>
              </w:rPr>
              <w:t>Grave</w:t>
            </w:r>
          </w:p>
        </w:tc>
        <w:tc>
          <w:tcPr>
            <w:tcW w:w="2411" w:type="dxa"/>
          </w:tcPr>
          <w:p w:rsidR="008B0C6B" w:rsidRPr="00EB6770" w:rsidRDefault="008B0C6B" w:rsidP="006A28B9">
            <w:pPr>
              <w:jc w:val="both"/>
              <w:rPr>
                <w:b/>
              </w:rPr>
            </w:pPr>
            <w:r>
              <w:rPr>
                <w:rFonts w:cs="Verdana"/>
                <w:b/>
                <w:bCs/>
                <w:color w:val="000000"/>
              </w:rPr>
              <w:t>Elevato</w:t>
            </w:r>
          </w:p>
          <w:p w:rsidR="008B0C6B" w:rsidRPr="00EB6770" w:rsidRDefault="008B0C6B" w:rsidP="006A28B9">
            <w:pPr>
              <w:jc w:val="both"/>
              <w:rPr>
                <w:b/>
              </w:rPr>
            </w:pPr>
          </w:p>
        </w:tc>
      </w:tr>
      <w:tr w:rsidR="008B0C6B" w:rsidRPr="0093061F" w:rsidTr="006A28B9">
        <w:tc>
          <w:tcPr>
            <w:tcW w:w="2624" w:type="dxa"/>
          </w:tcPr>
          <w:p w:rsidR="008B0C6B" w:rsidRPr="00EB6770" w:rsidRDefault="008B0C6B" w:rsidP="006A28B9">
            <w:pPr>
              <w:rPr>
                <w:sz w:val="20"/>
                <w:szCs w:val="20"/>
              </w:rPr>
            </w:pPr>
            <w:r w:rsidRPr="00EB6770">
              <w:rPr>
                <w:rFonts w:cs="Verdana"/>
                <w:color w:val="000000"/>
                <w:sz w:val="20"/>
                <w:szCs w:val="20"/>
              </w:rPr>
              <w:t>Movimentazione manuale dei carichi</w:t>
            </w:r>
          </w:p>
        </w:tc>
        <w:tc>
          <w:tcPr>
            <w:tcW w:w="2407" w:type="dxa"/>
          </w:tcPr>
          <w:p w:rsidR="008B0C6B" w:rsidRPr="00EB6770" w:rsidRDefault="008B0C6B" w:rsidP="006A28B9">
            <w:pPr>
              <w:jc w:val="both"/>
            </w:pPr>
            <w:r w:rsidRPr="00EB6770">
              <w:t>Possibile</w:t>
            </w:r>
          </w:p>
        </w:tc>
        <w:tc>
          <w:tcPr>
            <w:tcW w:w="2412" w:type="dxa"/>
          </w:tcPr>
          <w:p w:rsidR="008B0C6B" w:rsidRPr="00EB6770" w:rsidRDefault="008B0C6B" w:rsidP="006A28B9">
            <w:pPr>
              <w:jc w:val="both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lieve</w:t>
            </w:r>
          </w:p>
        </w:tc>
        <w:tc>
          <w:tcPr>
            <w:tcW w:w="2411" w:type="dxa"/>
          </w:tcPr>
          <w:p w:rsidR="008B0C6B" w:rsidRPr="00EB6770" w:rsidRDefault="008B0C6B" w:rsidP="006A28B9">
            <w:pPr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color w:val="000000"/>
              </w:rPr>
            </w:pPr>
            <w:r w:rsidRPr="00EB6770">
              <w:rPr>
                <w:rFonts w:cs="Verdana"/>
                <w:b/>
                <w:bCs/>
                <w:color w:val="000000"/>
              </w:rPr>
              <w:t>Accettabile</w:t>
            </w:r>
          </w:p>
          <w:p w:rsidR="008B0C6B" w:rsidRPr="00EB6770" w:rsidRDefault="008B0C6B" w:rsidP="006A28B9">
            <w:pPr>
              <w:jc w:val="both"/>
              <w:rPr>
                <w:rFonts w:cs="Verdana"/>
                <w:b/>
                <w:bCs/>
                <w:color w:val="000000"/>
              </w:rPr>
            </w:pPr>
          </w:p>
        </w:tc>
      </w:tr>
      <w:tr w:rsidR="008B0C6B" w:rsidRPr="0093061F" w:rsidTr="006A28B9">
        <w:tc>
          <w:tcPr>
            <w:tcW w:w="2624" w:type="dxa"/>
          </w:tcPr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Elettrocuzione</w:t>
            </w:r>
          </w:p>
        </w:tc>
        <w:tc>
          <w:tcPr>
            <w:tcW w:w="2407" w:type="dxa"/>
          </w:tcPr>
          <w:p w:rsidR="008B0C6B" w:rsidRPr="00EB6770" w:rsidRDefault="008B0C6B" w:rsidP="006A28B9">
            <w:pPr>
              <w:jc w:val="both"/>
            </w:pPr>
            <w:r>
              <w:t>Possibile</w:t>
            </w:r>
          </w:p>
        </w:tc>
        <w:tc>
          <w:tcPr>
            <w:tcW w:w="2412" w:type="dxa"/>
          </w:tcPr>
          <w:p w:rsidR="008B0C6B" w:rsidRPr="00EB6770" w:rsidRDefault="008B0C6B" w:rsidP="006A28B9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Significativo</w:t>
            </w:r>
          </w:p>
          <w:p w:rsidR="008B0C6B" w:rsidRPr="00EB6770" w:rsidRDefault="008B0C6B" w:rsidP="006A28B9">
            <w:pPr>
              <w:jc w:val="both"/>
              <w:rPr>
                <w:rFonts w:cs="Verdana"/>
                <w:color w:val="000000"/>
              </w:rPr>
            </w:pPr>
          </w:p>
        </w:tc>
        <w:tc>
          <w:tcPr>
            <w:tcW w:w="2411" w:type="dxa"/>
          </w:tcPr>
          <w:p w:rsidR="008B0C6B" w:rsidRPr="00EB6770" w:rsidRDefault="008B0C6B" w:rsidP="006A28B9">
            <w:pPr>
              <w:jc w:val="both"/>
              <w:rPr>
                <w:rFonts w:cs="Verdana"/>
                <w:b/>
                <w:bCs/>
                <w:color w:val="000000"/>
              </w:rPr>
            </w:pPr>
            <w:r w:rsidRPr="00EB6770">
              <w:rPr>
                <w:rFonts w:cs="Verdana"/>
                <w:b/>
                <w:bCs/>
                <w:color w:val="000000"/>
              </w:rPr>
              <w:t>Notevole</w:t>
            </w:r>
          </w:p>
          <w:p w:rsidR="008B0C6B" w:rsidRPr="00EB6770" w:rsidRDefault="008B0C6B" w:rsidP="006A28B9">
            <w:pPr>
              <w:jc w:val="both"/>
              <w:rPr>
                <w:rFonts w:cs="Verdana"/>
                <w:b/>
                <w:bCs/>
                <w:color w:val="000000"/>
              </w:rPr>
            </w:pPr>
          </w:p>
        </w:tc>
      </w:tr>
      <w:tr w:rsidR="008B0C6B" w:rsidRPr="0093061F" w:rsidTr="006A28B9">
        <w:tc>
          <w:tcPr>
            <w:tcW w:w="2624" w:type="dxa"/>
          </w:tcPr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EB6770">
              <w:rPr>
                <w:rFonts w:cs="Verdana"/>
                <w:color w:val="000000"/>
                <w:sz w:val="20"/>
                <w:szCs w:val="20"/>
              </w:rPr>
              <w:t xml:space="preserve">Ferite, tagli per contatto con gli 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B6770">
              <w:rPr>
                <w:rFonts w:cs="Verdana"/>
                <w:color w:val="000000"/>
                <w:sz w:val="20"/>
                <w:szCs w:val="20"/>
              </w:rPr>
              <w:t>elementi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meccanici </w:t>
            </w:r>
          </w:p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EB6770">
              <w:rPr>
                <w:rFonts w:cs="Verdana"/>
                <w:color w:val="000000"/>
                <w:sz w:val="20"/>
                <w:szCs w:val="20"/>
              </w:rPr>
              <w:t>in movimentazione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e attrezzi </w:t>
            </w:r>
          </w:p>
        </w:tc>
        <w:tc>
          <w:tcPr>
            <w:tcW w:w="2407" w:type="dxa"/>
          </w:tcPr>
          <w:p w:rsidR="008B0C6B" w:rsidRPr="00EB6770" w:rsidRDefault="008B0C6B" w:rsidP="006A28B9">
            <w:pPr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color w:val="000000"/>
              </w:rPr>
            </w:pPr>
          </w:p>
          <w:p w:rsidR="008B0C6B" w:rsidRPr="00EB6770" w:rsidRDefault="008B0C6B" w:rsidP="006A28B9">
            <w:pPr>
              <w:jc w:val="both"/>
            </w:pPr>
            <w:r w:rsidRPr="00EB6770">
              <w:rPr>
                <w:rFonts w:cs="Verdana"/>
                <w:color w:val="000000"/>
              </w:rPr>
              <w:t>Possibile</w:t>
            </w:r>
          </w:p>
        </w:tc>
        <w:tc>
          <w:tcPr>
            <w:tcW w:w="2412" w:type="dxa"/>
          </w:tcPr>
          <w:p w:rsidR="008B0C6B" w:rsidRPr="00EB6770" w:rsidRDefault="008B0C6B" w:rsidP="006A28B9">
            <w:pPr>
              <w:jc w:val="both"/>
              <w:rPr>
                <w:rFonts w:cs="Verdana"/>
                <w:color w:val="000000"/>
              </w:rPr>
            </w:pPr>
          </w:p>
          <w:p w:rsidR="008B0C6B" w:rsidRPr="00EB6770" w:rsidRDefault="008B0C6B" w:rsidP="006A28B9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Modesto</w:t>
            </w:r>
          </w:p>
        </w:tc>
        <w:tc>
          <w:tcPr>
            <w:tcW w:w="2411" w:type="dxa"/>
          </w:tcPr>
          <w:p w:rsidR="008B0C6B" w:rsidRPr="00EB6770" w:rsidRDefault="008B0C6B" w:rsidP="006A28B9">
            <w:pPr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color w:val="000000"/>
              </w:rPr>
            </w:pPr>
          </w:p>
          <w:p w:rsidR="008B0C6B" w:rsidRPr="00EB6770" w:rsidRDefault="008B0C6B" w:rsidP="006A28B9">
            <w:pPr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color w:val="000000"/>
              </w:rPr>
            </w:pPr>
            <w:r w:rsidRPr="00EB6770">
              <w:rPr>
                <w:rFonts w:cs="Verdana"/>
                <w:b/>
                <w:bCs/>
                <w:color w:val="000000"/>
              </w:rPr>
              <w:t>Accettabile</w:t>
            </w:r>
          </w:p>
          <w:p w:rsidR="008B0C6B" w:rsidRPr="00EB6770" w:rsidRDefault="008B0C6B" w:rsidP="006A28B9">
            <w:pPr>
              <w:jc w:val="both"/>
              <w:rPr>
                <w:rFonts w:cs="Verdana"/>
                <w:b/>
                <w:bCs/>
                <w:color w:val="000000"/>
              </w:rPr>
            </w:pPr>
          </w:p>
        </w:tc>
      </w:tr>
      <w:tr w:rsidR="008B0C6B" w:rsidRPr="0093061F" w:rsidTr="006A28B9">
        <w:tc>
          <w:tcPr>
            <w:tcW w:w="2624" w:type="dxa"/>
          </w:tcPr>
          <w:p w:rsidR="008B0C6B" w:rsidRPr="00EB6770" w:rsidRDefault="008B0C6B" w:rsidP="006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Caduta materiale dall’alto</w:t>
            </w:r>
          </w:p>
        </w:tc>
        <w:tc>
          <w:tcPr>
            <w:tcW w:w="2407" w:type="dxa"/>
          </w:tcPr>
          <w:p w:rsidR="008B0C6B" w:rsidRPr="00EB6770" w:rsidRDefault="008B0C6B" w:rsidP="006A28B9">
            <w:pPr>
              <w:jc w:val="both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Possibile</w:t>
            </w:r>
          </w:p>
          <w:p w:rsidR="008B0C6B" w:rsidRPr="00EB6770" w:rsidRDefault="008B0C6B" w:rsidP="006A28B9">
            <w:pPr>
              <w:jc w:val="both"/>
            </w:pPr>
          </w:p>
        </w:tc>
        <w:tc>
          <w:tcPr>
            <w:tcW w:w="2412" w:type="dxa"/>
          </w:tcPr>
          <w:p w:rsidR="008B0C6B" w:rsidRPr="00EB6770" w:rsidRDefault="008B0C6B" w:rsidP="006A28B9">
            <w:pPr>
              <w:jc w:val="both"/>
            </w:pPr>
            <w:r w:rsidRPr="00EB6770">
              <w:rPr>
                <w:rFonts w:cs="Verdana"/>
                <w:color w:val="000000"/>
              </w:rPr>
              <w:t>Significativo</w:t>
            </w:r>
          </w:p>
        </w:tc>
        <w:tc>
          <w:tcPr>
            <w:tcW w:w="2411" w:type="dxa"/>
          </w:tcPr>
          <w:p w:rsidR="008B0C6B" w:rsidRPr="00EB6770" w:rsidRDefault="008B0C6B" w:rsidP="006A28B9">
            <w:pPr>
              <w:jc w:val="both"/>
              <w:rPr>
                <w:b/>
              </w:rPr>
            </w:pPr>
            <w:r w:rsidRPr="00EB6770">
              <w:rPr>
                <w:rFonts w:cs="Verdana"/>
                <w:b/>
                <w:bCs/>
                <w:color w:val="000000"/>
              </w:rPr>
              <w:t>Notevole</w:t>
            </w:r>
          </w:p>
          <w:p w:rsidR="008B0C6B" w:rsidRPr="00EB6770" w:rsidRDefault="008B0C6B" w:rsidP="006A28B9">
            <w:pPr>
              <w:jc w:val="both"/>
              <w:rPr>
                <w:b/>
              </w:rPr>
            </w:pPr>
          </w:p>
        </w:tc>
      </w:tr>
      <w:tr w:rsidR="008B0C6B" w:rsidRPr="0093061F" w:rsidTr="006A28B9">
        <w:tc>
          <w:tcPr>
            <w:tcW w:w="2624" w:type="dxa"/>
          </w:tcPr>
          <w:p w:rsidR="008B0C6B" w:rsidRDefault="008B0C6B" w:rsidP="006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Rumore</w:t>
            </w:r>
          </w:p>
        </w:tc>
        <w:tc>
          <w:tcPr>
            <w:tcW w:w="2407" w:type="dxa"/>
          </w:tcPr>
          <w:p w:rsidR="008B0C6B" w:rsidRPr="00E66725" w:rsidRDefault="008B0C6B" w:rsidP="006A28B9">
            <w:r w:rsidRPr="00E66725">
              <w:t>Possibile</w:t>
            </w:r>
          </w:p>
        </w:tc>
        <w:tc>
          <w:tcPr>
            <w:tcW w:w="2412" w:type="dxa"/>
          </w:tcPr>
          <w:p w:rsidR="008B0C6B" w:rsidRPr="00E66725" w:rsidRDefault="008B0C6B" w:rsidP="006A28B9">
            <w:r>
              <w:t>Modesto</w:t>
            </w:r>
          </w:p>
        </w:tc>
        <w:tc>
          <w:tcPr>
            <w:tcW w:w="2411" w:type="dxa"/>
          </w:tcPr>
          <w:p w:rsidR="008B0C6B" w:rsidRPr="00EB6770" w:rsidRDefault="008B0C6B" w:rsidP="006A28B9">
            <w:pPr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color w:val="000000"/>
              </w:rPr>
            </w:pPr>
            <w:r w:rsidRPr="00EB6770">
              <w:rPr>
                <w:rFonts w:cs="Verdana"/>
                <w:b/>
                <w:bCs/>
                <w:color w:val="000000"/>
              </w:rPr>
              <w:t>Accettabile</w:t>
            </w:r>
          </w:p>
          <w:p w:rsidR="008B0C6B" w:rsidRPr="0093061F" w:rsidRDefault="008B0C6B" w:rsidP="006A28B9">
            <w:pPr>
              <w:rPr>
                <w:b/>
                <w:sz w:val="16"/>
                <w:szCs w:val="16"/>
              </w:rPr>
            </w:pPr>
          </w:p>
        </w:tc>
      </w:tr>
      <w:tr w:rsidR="008B0C6B" w:rsidRPr="0093061F" w:rsidTr="006A28B9">
        <w:tc>
          <w:tcPr>
            <w:tcW w:w="2624" w:type="dxa"/>
          </w:tcPr>
          <w:p w:rsidR="008B0C6B" w:rsidRPr="00115606" w:rsidRDefault="008B0C6B" w:rsidP="006A28B9">
            <w:pPr>
              <w:rPr>
                <w:sz w:val="20"/>
                <w:szCs w:val="20"/>
              </w:rPr>
            </w:pPr>
            <w:r w:rsidRPr="00115606">
              <w:rPr>
                <w:rFonts w:cs="TTE1C25C08t00"/>
                <w:sz w:val="20"/>
                <w:szCs w:val="20"/>
              </w:rPr>
              <w:t>Crollo per cedimento casseforme</w:t>
            </w:r>
          </w:p>
        </w:tc>
        <w:tc>
          <w:tcPr>
            <w:tcW w:w="2407" w:type="dxa"/>
          </w:tcPr>
          <w:p w:rsidR="008B0C6B" w:rsidRPr="00EB6770" w:rsidRDefault="008B0C6B" w:rsidP="006A28B9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Probabile</w:t>
            </w:r>
          </w:p>
          <w:p w:rsidR="008B0C6B" w:rsidRPr="00EB6770" w:rsidRDefault="008B0C6B" w:rsidP="006A28B9">
            <w:pPr>
              <w:jc w:val="both"/>
            </w:pPr>
          </w:p>
        </w:tc>
        <w:tc>
          <w:tcPr>
            <w:tcW w:w="2412" w:type="dxa"/>
          </w:tcPr>
          <w:p w:rsidR="008B0C6B" w:rsidRPr="00EB6770" w:rsidRDefault="008B0C6B" w:rsidP="006A28B9">
            <w:pPr>
              <w:jc w:val="both"/>
            </w:pPr>
            <w:r>
              <w:rPr>
                <w:rFonts w:cs="Verdana"/>
                <w:color w:val="000000"/>
              </w:rPr>
              <w:t>Grave</w:t>
            </w:r>
          </w:p>
        </w:tc>
        <w:tc>
          <w:tcPr>
            <w:tcW w:w="2411" w:type="dxa"/>
          </w:tcPr>
          <w:p w:rsidR="008B0C6B" w:rsidRPr="00EB6770" w:rsidRDefault="008B0C6B" w:rsidP="006A28B9">
            <w:pPr>
              <w:jc w:val="both"/>
              <w:rPr>
                <w:b/>
              </w:rPr>
            </w:pPr>
            <w:r>
              <w:rPr>
                <w:rFonts w:cs="Verdana"/>
                <w:b/>
                <w:bCs/>
                <w:color w:val="000000"/>
              </w:rPr>
              <w:t>Elevato</w:t>
            </w:r>
          </w:p>
          <w:p w:rsidR="008B0C6B" w:rsidRPr="00EB6770" w:rsidRDefault="008B0C6B" w:rsidP="006A28B9">
            <w:pPr>
              <w:jc w:val="both"/>
              <w:rPr>
                <w:b/>
              </w:rPr>
            </w:pPr>
          </w:p>
        </w:tc>
      </w:tr>
      <w:tr w:rsidR="008B0C6B" w:rsidRPr="0093061F" w:rsidTr="006A28B9">
        <w:tc>
          <w:tcPr>
            <w:tcW w:w="2624" w:type="dxa"/>
          </w:tcPr>
          <w:p w:rsidR="008B0C6B" w:rsidRPr="002D1807" w:rsidRDefault="008B0C6B" w:rsidP="006A28B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15606">
              <w:rPr>
                <w:rFonts w:cs="TTE1C25C08t00"/>
                <w:sz w:val="20"/>
                <w:szCs w:val="20"/>
              </w:rPr>
              <w:t>Urti, colpi, impatti e</w:t>
            </w:r>
            <w:r>
              <w:rPr>
                <w:rFonts w:ascii="TTE1C25C08t00" w:hAnsi="TTE1C25C08t00" w:cs="TTE1C25C08t00"/>
                <w:sz w:val="19"/>
                <w:szCs w:val="19"/>
              </w:rPr>
              <w:t xml:space="preserve"> </w:t>
            </w:r>
            <w:r w:rsidRPr="00115606">
              <w:rPr>
                <w:rFonts w:cs="TTE1C25C08t00"/>
                <w:sz w:val="19"/>
                <w:szCs w:val="19"/>
              </w:rPr>
              <w:lastRenderedPageBreak/>
              <w:t xml:space="preserve">compressioni  </w:t>
            </w:r>
          </w:p>
        </w:tc>
        <w:tc>
          <w:tcPr>
            <w:tcW w:w="2407" w:type="dxa"/>
          </w:tcPr>
          <w:p w:rsidR="008B0C6B" w:rsidRPr="00EB6770" w:rsidRDefault="008B0C6B" w:rsidP="006A28B9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lastRenderedPageBreak/>
              <w:t>Probabile</w:t>
            </w:r>
          </w:p>
          <w:p w:rsidR="008B0C6B" w:rsidRPr="00EB6770" w:rsidRDefault="008B0C6B" w:rsidP="006A28B9">
            <w:pPr>
              <w:jc w:val="both"/>
            </w:pPr>
          </w:p>
        </w:tc>
        <w:tc>
          <w:tcPr>
            <w:tcW w:w="2412" w:type="dxa"/>
          </w:tcPr>
          <w:p w:rsidR="008B0C6B" w:rsidRPr="00E66725" w:rsidRDefault="008B0C6B" w:rsidP="006A28B9">
            <w:r>
              <w:lastRenderedPageBreak/>
              <w:t>grave</w:t>
            </w:r>
          </w:p>
        </w:tc>
        <w:tc>
          <w:tcPr>
            <w:tcW w:w="2411" w:type="dxa"/>
          </w:tcPr>
          <w:p w:rsidR="008B0C6B" w:rsidRPr="00EB6770" w:rsidRDefault="008B0C6B" w:rsidP="006A28B9">
            <w:pPr>
              <w:jc w:val="both"/>
              <w:rPr>
                <w:b/>
              </w:rPr>
            </w:pPr>
            <w:r>
              <w:rPr>
                <w:rFonts w:cs="Verdana"/>
                <w:b/>
                <w:bCs/>
                <w:color w:val="000000"/>
              </w:rPr>
              <w:t>Elevato</w:t>
            </w:r>
          </w:p>
          <w:p w:rsidR="008B0C6B" w:rsidRPr="00EB6770" w:rsidRDefault="008B0C6B" w:rsidP="006A28B9">
            <w:pPr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color w:val="000000"/>
              </w:rPr>
            </w:pPr>
          </w:p>
        </w:tc>
      </w:tr>
      <w:tr w:rsidR="008B0C6B" w:rsidRPr="0093061F" w:rsidTr="006A28B9">
        <w:tc>
          <w:tcPr>
            <w:tcW w:w="2624" w:type="dxa"/>
          </w:tcPr>
          <w:p w:rsidR="008B0C6B" w:rsidRPr="00B075D5" w:rsidRDefault="008B0C6B" w:rsidP="006A28B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polveri,fibre</w:t>
            </w:r>
            <w:r w:rsidRPr="00B075D5">
              <w:rPr>
                <w:rFonts w:cs="Arial"/>
                <w:sz w:val="20"/>
                <w:szCs w:val="20"/>
              </w:rPr>
              <w:t>;</w:t>
            </w:r>
          </w:p>
        </w:tc>
        <w:tc>
          <w:tcPr>
            <w:tcW w:w="2407" w:type="dxa"/>
          </w:tcPr>
          <w:p w:rsidR="008B0C6B" w:rsidRPr="00E66725" w:rsidRDefault="008B0C6B" w:rsidP="006A28B9">
            <w:r w:rsidRPr="00E66725">
              <w:t>Possibile</w:t>
            </w:r>
          </w:p>
        </w:tc>
        <w:tc>
          <w:tcPr>
            <w:tcW w:w="2412" w:type="dxa"/>
          </w:tcPr>
          <w:p w:rsidR="008B0C6B" w:rsidRPr="00E66725" w:rsidRDefault="008B0C6B" w:rsidP="006A28B9">
            <w:r>
              <w:t>Modesto</w:t>
            </w:r>
          </w:p>
        </w:tc>
        <w:tc>
          <w:tcPr>
            <w:tcW w:w="2411" w:type="dxa"/>
          </w:tcPr>
          <w:p w:rsidR="008B0C6B" w:rsidRPr="00EB6770" w:rsidRDefault="008B0C6B" w:rsidP="006A28B9">
            <w:pPr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color w:val="000000"/>
              </w:rPr>
            </w:pPr>
            <w:r>
              <w:rPr>
                <w:rFonts w:cs="Verdana"/>
                <w:b/>
                <w:bCs/>
                <w:color w:val="000000"/>
              </w:rPr>
              <w:t>Basso</w:t>
            </w:r>
          </w:p>
          <w:p w:rsidR="008B0C6B" w:rsidRPr="0093061F" w:rsidRDefault="008B0C6B" w:rsidP="006A28B9">
            <w:pPr>
              <w:rPr>
                <w:b/>
                <w:sz w:val="16"/>
                <w:szCs w:val="16"/>
              </w:rPr>
            </w:pPr>
          </w:p>
        </w:tc>
      </w:tr>
      <w:tr w:rsidR="008B0C6B" w:rsidRPr="0093061F" w:rsidTr="006A28B9">
        <w:tc>
          <w:tcPr>
            <w:tcW w:w="2624" w:type="dxa"/>
          </w:tcPr>
          <w:p w:rsidR="008B0C6B" w:rsidRPr="00115606" w:rsidRDefault="008B0C6B" w:rsidP="006A28B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15606">
              <w:rPr>
                <w:rFonts w:cs="TTE1C25C08t00"/>
                <w:sz w:val="20"/>
                <w:szCs w:val="20"/>
              </w:rPr>
              <w:t>Caduta su spigoli di casseri o sui tondini</w:t>
            </w:r>
          </w:p>
        </w:tc>
        <w:tc>
          <w:tcPr>
            <w:tcW w:w="2407" w:type="dxa"/>
          </w:tcPr>
          <w:p w:rsidR="008B0C6B" w:rsidRPr="00EB6770" w:rsidRDefault="008B0C6B" w:rsidP="006A28B9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Probabile</w:t>
            </w:r>
          </w:p>
          <w:p w:rsidR="008B0C6B" w:rsidRPr="00EB6770" w:rsidRDefault="008B0C6B" w:rsidP="006A28B9">
            <w:pPr>
              <w:jc w:val="both"/>
            </w:pPr>
          </w:p>
        </w:tc>
        <w:tc>
          <w:tcPr>
            <w:tcW w:w="2412" w:type="dxa"/>
          </w:tcPr>
          <w:p w:rsidR="008B0C6B" w:rsidRPr="00EB6770" w:rsidRDefault="008B0C6B" w:rsidP="006A28B9">
            <w:pPr>
              <w:jc w:val="both"/>
            </w:pPr>
            <w:r>
              <w:rPr>
                <w:rFonts w:cs="Verdana"/>
                <w:color w:val="000000"/>
              </w:rPr>
              <w:t>Grave</w:t>
            </w:r>
          </w:p>
        </w:tc>
        <w:tc>
          <w:tcPr>
            <w:tcW w:w="2411" w:type="dxa"/>
          </w:tcPr>
          <w:p w:rsidR="008B0C6B" w:rsidRPr="00EB6770" w:rsidRDefault="008B0C6B" w:rsidP="006A28B9">
            <w:pPr>
              <w:jc w:val="both"/>
              <w:rPr>
                <w:b/>
              </w:rPr>
            </w:pPr>
            <w:r>
              <w:rPr>
                <w:rFonts w:cs="Verdana"/>
                <w:b/>
                <w:bCs/>
                <w:color w:val="000000"/>
              </w:rPr>
              <w:t>Elevato</w:t>
            </w:r>
          </w:p>
          <w:p w:rsidR="008B0C6B" w:rsidRPr="00EB6770" w:rsidRDefault="008B0C6B" w:rsidP="006A28B9">
            <w:pPr>
              <w:jc w:val="both"/>
              <w:rPr>
                <w:b/>
              </w:rPr>
            </w:pPr>
          </w:p>
        </w:tc>
      </w:tr>
      <w:tr w:rsidR="008B0C6B" w:rsidRPr="0093061F" w:rsidTr="006A28B9">
        <w:tc>
          <w:tcPr>
            <w:tcW w:w="2624" w:type="dxa"/>
          </w:tcPr>
          <w:p w:rsidR="008B0C6B" w:rsidRPr="00115606" w:rsidRDefault="008B0C6B" w:rsidP="006A28B9">
            <w:pPr>
              <w:autoSpaceDE w:val="0"/>
              <w:autoSpaceDN w:val="0"/>
              <w:adjustRightInd w:val="0"/>
              <w:rPr>
                <w:rFonts w:cs="TTE1C25C08t00"/>
                <w:sz w:val="20"/>
                <w:szCs w:val="20"/>
              </w:rPr>
            </w:pPr>
            <w:r w:rsidRPr="00115606">
              <w:rPr>
                <w:rFonts w:cs="TTE1C25C08t00"/>
                <w:sz w:val="20"/>
                <w:szCs w:val="20"/>
              </w:rPr>
              <w:t>Proiezione di schegge</w:t>
            </w:r>
          </w:p>
        </w:tc>
        <w:tc>
          <w:tcPr>
            <w:tcW w:w="2407" w:type="dxa"/>
          </w:tcPr>
          <w:p w:rsidR="008B0C6B" w:rsidRPr="00E66725" w:rsidRDefault="008B0C6B" w:rsidP="006A28B9">
            <w:r w:rsidRPr="00E66725">
              <w:t>Possibile</w:t>
            </w:r>
          </w:p>
        </w:tc>
        <w:tc>
          <w:tcPr>
            <w:tcW w:w="2412" w:type="dxa"/>
          </w:tcPr>
          <w:p w:rsidR="008B0C6B" w:rsidRPr="00E66725" w:rsidRDefault="008B0C6B" w:rsidP="006A28B9">
            <w:r>
              <w:t>Modesto</w:t>
            </w:r>
          </w:p>
        </w:tc>
        <w:tc>
          <w:tcPr>
            <w:tcW w:w="2411" w:type="dxa"/>
          </w:tcPr>
          <w:p w:rsidR="008B0C6B" w:rsidRDefault="008B0C6B" w:rsidP="006A28B9">
            <w:pPr>
              <w:jc w:val="both"/>
              <w:rPr>
                <w:rFonts w:cs="Verdana"/>
                <w:b/>
                <w:bCs/>
                <w:color w:val="000000"/>
              </w:rPr>
            </w:pPr>
            <w:r>
              <w:rPr>
                <w:rFonts w:cs="Verdana"/>
                <w:b/>
                <w:bCs/>
                <w:color w:val="000000"/>
              </w:rPr>
              <w:t>Accettabile</w:t>
            </w:r>
          </w:p>
          <w:p w:rsidR="008B0C6B" w:rsidRDefault="008B0C6B" w:rsidP="006A28B9">
            <w:pPr>
              <w:jc w:val="both"/>
              <w:rPr>
                <w:rFonts w:cs="Verdana"/>
                <w:b/>
                <w:bCs/>
                <w:color w:val="000000"/>
              </w:rPr>
            </w:pPr>
          </w:p>
        </w:tc>
      </w:tr>
    </w:tbl>
    <w:p w:rsidR="008B0C6B" w:rsidRDefault="008B0C6B" w:rsidP="008B0C6B">
      <w:pPr>
        <w:rPr>
          <w:rFonts w:cs="Verdana"/>
          <w:b/>
          <w:bCs/>
          <w:color w:val="000000"/>
          <w:sz w:val="24"/>
          <w:szCs w:val="24"/>
        </w:rPr>
      </w:pPr>
    </w:p>
    <w:p w:rsidR="008B0C6B" w:rsidRPr="006E5CB5" w:rsidRDefault="008B0C6B" w:rsidP="008B0C6B">
      <w:r w:rsidRPr="00ED62D5">
        <w:rPr>
          <w:rFonts w:cs="Verdana"/>
          <w:b/>
          <w:bCs/>
          <w:color w:val="000000"/>
          <w:sz w:val="24"/>
          <w:szCs w:val="24"/>
        </w:rPr>
        <w:t xml:space="preserve">INTERVENTI/DISPOSIZIONI/PROCEDURE PER RIDURRE I RISCHI                                                                                    </w:t>
      </w:r>
      <w:r w:rsidRPr="00EB6770">
        <w:rPr>
          <w:rFonts w:cs="Verdana"/>
          <w:color w:val="000000"/>
        </w:rPr>
        <w:t>A seguito della valutazione dei rischi sono riportati, in maniera non esaustiva, gli</w:t>
      </w:r>
      <w:r w:rsidRPr="00EB6770">
        <w:rPr>
          <w:rFonts w:cs="Verdana"/>
          <w:b/>
          <w:bCs/>
          <w:color w:val="000000"/>
        </w:rPr>
        <w:t xml:space="preserve"> </w:t>
      </w:r>
      <w:r w:rsidRPr="00EB6770">
        <w:rPr>
          <w:rFonts w:cs="Verdana"/>
          <w:color w:val="000000"/>
        </w:rPr>
        <w:t>interventi/ disposizioni</w:t>
      </w:r>
      <w:r>
        <w:rPr>
          <w:rFonts w:cs="Verdana"/>
          <w:color w:val="000000"/>
        </w:rPr>
        <w:t xml:space="preserve">/ </w:t>
      </w:r>
      <w:r w:rsidRPr="00EB6770">
        <w:rPr>
          <w:rFonts w:cs="Verdana"/>
          <w:color w:val="000000"/>
        </w:rPr>
        <w:t>procedure volte a salvaguardare la sicurezza e la salute dei lavoratori:</w:t>
      </w:r>
      <w:r w:rsidRPr="00EB6770">
        <w:rPr>
          <w:rFonts w:cs="Verdana"/>
          <w:b/>
          <w:bCs/>
          <w:color w:val="000000"/>
        </w:rPr>
        <w:t xml:space="preserve">                                                    </w:t>
      </w:r>
      <w:r w:rsidRPr="00EB6770">
        <w:rPr>
          <w:rFonts w:cs="SymbolMT"/>
          <w:color w:val="000000"/>
        </w:rPr>
        <w:t xml:space="preserve"> </w:t>
      </w:r>
      <w:r>
        <w:t xml:space="preserve">                                                             </w:t>
      </w:r>
    </w:p>
    <w:p w:rsidR="008B0C6B" w:rsidRDefault="008B0C6B" w:rsidP="008B0C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E64B92">
        <w:rPr>
          <w:rFonts w:cs="TTE1C25C08t00"/>
        </w:rPr>
        <w:t>Predisporre un’area specifica all’interno del cantiere destinata alla lavorazione delle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casserature ed individuare le vie di accesso, i percorsi ottimali e le opere provvisionali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necessarie per garantire la sicurezza degli addetti alle lavorazioni</w:t>
      </w:r>
      <w:r>
        <w:rPr>
          <w:rFonts w:cs="TTE1C25C08t00"/>
        </w:rPr>
        <w:t>;</w:t>
      </w:r>
    </w:p>
    <w:p w:rsidR="008B0C6B" w:rsidRDefault="008B0C6B" w:rsidP="008B0C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E64B92">
        <w:rPr>
          <w:rFonts w:cs="TTE1C25C08t00"/>
        </w:rPr>
        <w:t>Delimitare e proteggere le zone di transito e di accesso con robusti impalcati (parasassi)</w:t>
      </w:r>
      <w:r>
        <w:rPr>
          <w:rFonts w:cs="TTE1C25C08t00"/>
        </w:rPr>
        <w:t>;</w:t>
      </w:r>
    </w:p>
    <w:p w:rsidR="008B0C6B" w:rsidRDefault="008B0C6B" w:rsidP="008B0C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E64B92">
        <w:rPr>
          <w:rFonts w:cs="Symbol"/>
        </w:rPr>
        <w:t xml:space="preserve"> </w:t>
      </w:r>
      <w:r w:rsidRPr="00E64B92">
        <w:rPr>
          <w:rFonts w:cs="TTE1C25C08t00"/>
        </w:rPr>
        <w:t>Durante la movimentazione delle tavole di legno, dei puntelli e di altro materiale ligneo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controllare sempre che lo stesso sia inclinato in avanti per non investire gli altri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lavoratori</w:t>
      </w:r>
      <w:r>
        <w:rPr>
          <w:rFonts w:cs="TTE1C25C08t00"/>
        </w:rPr>
        <w:t>;</w:t>
      </w:r>
    </w:p>
    <w:p w:rsidR="008B0C6B" w:rsidRPr="00E64B92" w:rsidRDefault="008B0C6B" w:rsidP="008B0C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E64B92">
        <w:rPr>
          <w:rFonts w:cs="Symbol"/>
        </w:rPr>
        <w:t xml:space="preserve"> </w:t>
      </w:r>
      <w:r w:rsidRPr="00E64B92">
        <w:rPr>
          <w:rFonts w:cs="TTE1C25C08t00"/>
        </w:rPr>
        <w:t>Montare il ponteggio sul piano raggiunto fino alla quota del successivo impalcato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oppure, nei punti non protetti dai ponteggi esterni, approntare i parapetti o le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passerelle di circolazione contemporaneamente all'esecuzione delle casserature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 xml:space="preserve">provvisorie </w:t>
      </w:r>
      <w:r w:rsidRPr="00E64B92">
        <w:rPr>
          <w:rFonts w:cs="Helvetica"/>
        </w:rPr>
        <w:t>( Art. 126 del D.lgs. n.81/08 )</w:t>
      </w:r>
      <w:r>
        <w:rPr>
          <w:rFonts w:cs="Helvetica"/>
        </w:rPr>
        <w:t>;</w:t>
      </w:r>
    </w:p>
    <w:p w:rsidR="008B0C6B" w:rsidRDefault="008B0C6B" w:rsidP="008B0C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E64B92">
        <w:rPr>
          <w:rFonts w:cs="TTE1C25C08t00"/>
        </w:rPr>
        <w:t>Durante la preparazione dell'impalcato evitare di localizzare grossi carichi concentrati</w:t>
      </w:r>
      <w:r>
        <w:rPr>
          <w:rFonts w:cs="TTE1C25C08t00"/>
        </w:rPr>
        <w:t>;</w:t>
      </w:r>
    </w:p>
    <w:p w:rsidR="008B0C6B" w:rsidRDefault="008B0C6B" w:rsidP="008B0C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E64B92">
        <w:rPr>
          <w:rFonts w:cs="TTE1C25C08t00"/>
        </w:rPr>
        <w:t>Preferire l’operazione di spalmatura con pennello per l’applicazione di disarmanti sui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casseri, al posto della spruzzatura, che provoca nebulizzazione ed espone a rischi di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inalazione di prodotti nocivi</w:t>
      </w:r>
      <w:r>
        <w:rPr>
          <w:rFonts w:cs="TTE1C25C08t00"/>
        </w:rPr>
        <w:t>;</w:t>
      </w:r>
    </w:p>
    <w:p w:rsidR="008B0C6B" w:rsidRDefault="008B0C6B" w:rsidP="008B0C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E64B92">
        <w:rPr>
          <w:rFonts w:cs="TTE1C25C08t00"/>
        </w:rPr>
        <w:t>Nel caso non sia possibile l’applicazione manuale dei disarmanti, per l’ampiezza delle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superfici da trattare, utilizzare tecniche di spruzzo con prodotti disarmanti a basso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contenuto di solventi e metalli ed adottare mezzi di protezione individuale adeguati</w:t>
      </w:r>
      <w:r>
        <w:rPr>
          <w:rFonts w:cs="TTE1C25C08t00"/>
        </w:rPr>
        <w:t>;</w:t>
      </w:r>
    </w:p>
    <w:p w:rsidR="008B0C6B" w:rsidRDefault="008B0C6B" w:rsidP="008B0C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E64B92">
        <w:rPr>
          <w:rFonts w:cs="TTE1C25C08t00"/>
        </w:rPr>
        <w:t>Realizzare le armature di sostegno seguendo scrupolosamente gli schemi, curando la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verticalità dei puntelli, il loro ordine, la ripartizione del carico al piede, il fissaggio degli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elementi fra loro, la corretta registrazione</w:t>
      </w:r>
      <w:r>
        <w:rPr>
          <w:rFonts w:cs="TTE1C25C08t00"/>
        </w:rPr>
        <w:t>;</w:t>
      </w:r>
    </w:p>
    <w:p w:rsidR="008B0C6B" w:rsidRDefault="008B0C6B" w:rsidP="008B0C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E64B92">
        <w:rPr>
          <w:rFonts w:cs="TTE1C25C08t00"/>
        </w:rPr>
        <w:t>Nel posizionamento dei puntelli di banchinaggio eseguire un'adeguata trattenuta al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piede ponendo particolare cura nel loro posizionamento, evitando appoggi cedevoli o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insicuri e interponendo tra puntello e terreno un elemento per ampliare la superficie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d'appoggio; usare un solo puntello, di altezza e sezione convenienti, senza mai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sovrapporne due o più per raggiungere l'altezza dovuta</w:t>
      </w:r>
      <w:r>
        <w:rPr>
          <w:rFonts w:cs="TTE1C25C08t00"/>
        </w:rPr>
        <w:t xml:space="preserve">. </w:t>
      </w:r>
      <w:r w:rsidRPr="00E64B92">
        <w:rPr>
          <w:rFonts w:cs="TTE1C25C08t00"/>
        </w:rPr>
        <w:t>Essendo i travetti progettati in genere per assorbire bassi valori di tensione nella zona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superiore e conseguenti deformazioni molto limitate, non forzarli con dei momenti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negativi durante la posa dei puntelli</w:t>
      </w:r>
      <w:r>
        <w:rPr>
          <w:rFonts w:cs="TTE1C25C08t00"/>
        </w:rPr>
        <w:t>;</w:t>
      </w:r>
    </w:p>
    <w:p w:rsidR="008B0C6B" w:rsidRDefault="008B0C6B" w:rsidP="008B0C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E64B92">
        <w:rPr>
          <w:rFonts w:cs="TTE1C25C08t00"/>
        </w:rPr>
        <w:t>Durante l'armamento delle sponde tener conto del carico indotto dalle spint</w:t>
      </w:r>
      <w:r>
        <w:rPr>
          <w:rFonts w:cs="TTE1C25C08t00"/>
        </w:rPr>
        <w:t xml:space="preserve">e </w:t>
      </w:r>
      <w:r w:rsidRPr="00E64B92">
        <w:rPr>
          <w:rFonts w:cs="TTE1C25C08t00"/>
        </w:rPr>
        <w:t>idrostatiche provocate dal getto</w:t>
      </w:r>
      <w:r>
        <w:rPr>
          <w:rFonts w:cs="TTE1C25C08t00"/>
        </w:rPr>
        <w:t>;</w:t>
      </w:r>
    </w:p>
    <w:p w:rsidR="008B0C6B" w:rsidRDefault="008B0C6B" w:rsidP="008B0C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E64B92">
        <w:rPr>
          <w:rFonts w:cs="TTE1C25C08t00"/>
        </w:rPr>
        <w:t>Porre particolare attenzione agli ostacoli fissi pericolosi, quali i ferri di ripresa del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cemento armato emergenti dal piano di lavoro, che dovranno essere coperti con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cappuccetti in gomma o con altro sistema idoneo, onde evitare gravi infortuni al viso o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al corpo in caso di urti o cadute accidentali</w:t>
      </w:r>
      <w:r>
        <w:rPr>
          <w:rFonts w:cs="TTE1C25C08t00"/>
        </w:rPr>
        <w:t xml:space="preserve">. </w:t>
      </w:r>
      <w:r w:rsidRPr="00E64B92">
        <w:rPr>
          <w:rFonts w:cs="TTE1C25C08t00"/>
        </w:rPr>
        <w:t>Vietare severamente di arrampicarsi lungo i casseri e di sostare con i piedi sulle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“cravatte” o su tavole disposte fra i tiranti, per eseguire le operazioni di getto</w:t>
      </w:r>
      <w:r>
        <w:rPr>
          <w:rFonts w:cs="TTE1C25C08t00"/>
        </w:rPr>
        <w:t>;</w:t>
      </w:r>
    </w:p>
    <w:p w:rsidR="008B0C6B" w:rsidRPr="00E64B92" w:rsidRDefault="008B0C6B" w:rsidP="008B0C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E64B92">
        <w:rPr>
          <w:rFonts w:cs="TTE1C25C08t00"/>
        </w:rPr>
        <w:t>Predisporre la protezione delle aperture dei solai già in fase di realizzazione della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struttura: nel caso tali protezioni debbano essere rimosse temporaneamente per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specifiche lavorazioni, esse dovranno essere prontamente ripristinate non appena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 xml:space="preserve">possibile </w:t>
      </w:r>
      <w:r w:rsidRPr="00E64B92">
        <w:rPr>
          <w:rFonts w:cs="Helvetica"/>
        </w:rPr>
        <w:t>( Art. 146 del D.lgs. n.81/08 )</w:t>
      </w:r>
      <w:r>
        <w:rPr>
          <w:rFonts w:cs="Helvetica"/>
        </w:rPr>
        <w:t>;</w:t>
      </w:r>
    </w:p>
    <w:p w:rsidR="008B0C6B" w:rsidRDefault="008B0C6B" w:rsidP="008B0C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E64B92">
        <w:rPr>
          <w:rFonts w:cs="TTE1C25C08t00"/>
        </w:rPr>
        <w:lastRenderedPageBreak/>
        <w:t>Realizzare le protezioni di botole ed asole in modo da permettere le casserature, il getto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ed il disarmo, senza la loro rimozione; in alternativa chiudere l'asola con materiale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compatibile (reti di plastica, di acciaio, ecc.) o coprirla con tavolato solidamente fissato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e di idonea resistenza</w:t>
      </w:r>
      <w:r>
        <w:rPr>
          <w:rFonts w:cs="TTE1C25C08t00"/>
        </w:rPr>
        <w:t>;</w:t>
      </w:r>
    </w:p>
    <w:p w:rsidR="008B0C6B" w:rsidRDefault="008B0C6B" w:rsidP="008B0C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E64B92">
        <w:rPr>
          <w:rFonts w:cs="TTE1C25C08t00"/>
        </w:rPr>
        <w:t>Non iniziare alcuna operazione di disarmo in mancanza di apposita autorizzazione della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D.L.</w:t>
      </w:r>
      <w:r>
        <w:rPr>
          <w:rFonts w:cs="TTE1C25C08t00"/>
        </w:rPr>
        <w:t>;</w:t>
      </w:r>
    </w:p>
    <w:p w:rsidR="008B0C6B" w:rsidRDefault="008B0C6B" w:rsidP="008B0C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E64B92">
        <w:rPr>
          <w:rFonts w:cs="TTE1C25C08t00"/>
        </w:rPr>
        <w:t>Una volta maturato il getto, procedere alle operazioni di disarmo per gradi per evitare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che azioni troppo dinamiche causino lesioni alla struttura: eliminare dapprima i puntelli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intermedi, poi quelli di estremità adiacenti alle strutture portanti ed infine quelli che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sorreggono le strutture principali portanti (travi)</w:t>
      </w:r>
      <w:r>
        <w:rPr>
          <w:rFonts w:cs="TTE1C25C08t00"/>
        </w:rPr>
        <w:t>;</w:t>
      </w:r>
    </w:p>
    <w:p w:rsidR="008B0C6B" w:rsidRDefault="008B0C6B" w:rsidP="008B0C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E64B92">
        <w:rPr>
          <w:rFonts w:cs="TTE1C25C08t00"/>
        </w:rPr>
        <w:t>Vietare l’accesso alla zona interessata dalle operazioni di disarmo, mediante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segnalazione ed opportuni sbarramenti, fino a quando tale disarmo sarà in corso e non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saranno terminate tutte le operazioni di pulizia e di riordino, al fine di evitare di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inciampare nel materiale, di ferirsi con chiodi, ecc.</w:t>
      </w:r>
      <w:r>
        <w:rPr>
          <w:rFonts w:cs="TTE1C25C08t00"/>
        </w:rPr>
        <w:t>;</w:t>
      </w:r>
    </w:p>
    <w:p w:rsidR="008B0C6B" w:rsidRDefault="008B0C6B" w:rsidP="008B0C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E64B92">
        <w:rPr>
          <w:rFonts w:cs="TTE1C25C08t00"/>
        </w:rPr>
        <w:t>Impedire che le tavole ed i pezzi di legno cadano sui posti di passaggio, mediante la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realizzazione di idonei sbarramenti od altri opportuni accorgimenti</w:t>
      </w:r>
      <w:r>
        <w:rPr>
          <w:rFonts w:cs="TTE1C25C08t00"/>
        </w:rPr>
        <w:t>;</w:t>
      </w:r>
    </w:p>
    <w:p w:rsidR="008B0C6B" w:rsidRDefault="008B0C6B" w:rsidP="008B0C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E64B92">
        <w:rPr>
          <w:rFonts w:cs="TTE1C25C08t00"/>
        </w:rPr>
        <w:t>Durante l’operazione di disarmo, in cantiere è più che mai richiesto l’uso del casco per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la protezione del capo da parte degli addetti che operano a terra o comunque ad un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livello inferiore al piano di carpenteria, e poiché anche il rischio di puntura ai piedi è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maggiore, utilizzare obbligatoriamente le calzature di sicurezza</w:t>
      </w:r>
      <w:r>
        <w:rPr>
          <w:rFonts w:cs="TTE1C25C08t00"/>
        </w:rPr>
        <w:t>;</w:t>
      </w:r>
    </w:p>
    <w:p w:rsidR="008B0C6B" w:rsidRDefault="008B0C6B" w:rsidP="008B0C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E64B92">
        <w:rPr>
          <w:rFonts w:cs="TTE1C25C08t00"/>
        </w:rPr>
        <w:t>Dopo il disarmo, curare in modo particolare la pulizia dei casseri: ossia pulire le tavole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recuperabili dai chiodi, raccogliere le “mascelle” in appositi gabbioni ed allontanare le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tavole inutilizzabili dal cantiere prima possibile perché costituiscono un carico d'incendio</w:t>
      </w:r>
      <w:r>
        <w:rPr>
          <w:rFonts w:cs="TTE1C25C08t00"/>
        </w:rPr>
        <w:t>;</w:t>
      </w:r>
    </w:p>
    <w:p w:rsidR="008B0C6B" w:rsidRDefault="008B0C6B" w:rsidP="008B0C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E64B92">
        <w:rPr>
          <w:rFonts w:cs="Symbol"/>
        </w:rPr>
        <w:t xml:space="preserve"> </w:t>
      </w:r>
      <w:r w:rsidRPr="00E64B92">
        <w:rPr>
          <w:rFonts w:cs="TTE1C25C08t00"/>
        </w:rPr>
        <w:t>In caso di collassi delle strutture durante il disarmo delle carpenterie, prevedere la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presenza di un preposto con specifica competenza in materia al fine di valutare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prontamente la presenza di eventuali sintomi di crolli o cedimenti repentini delle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strutture e di disporre i conseguenti interventi di rinforzo delle armature provvisorie o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l’evacuazione immediata della zona pericolosa</w:t>
      </w:r>
      <w:r>
        <w:rPr>
          <w:rFonts w:cs="TTE1C25C08t00"/>
        </w:rPr>
        <w:t>;</w:t>
      </w:r>
    </w:p>
    <w:p w:rsidR="008B0C6B" w:rsidRDefault="008B0C6B" w:rsidP="008B0C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E64B92">
        <w:rPr>
          <w:rFonts w:cs="TTE1C25C08t00"/>
        </w:rPr>
        <w:t>Predisporre tutti gli interventi tecnici, organizzativi e procedurali concretamente</w:t>
      </w:r>
      <w:r>
        <w:rPr>
          <w:rFonts w:cs="TTE1C25C08t00"/>
        </w:rPr>
        <w:t xml:space="preserve"> </w:t>
      </w:r>
      <w:r w:rsidRPr="00E64B92">
        <w:rPr>
          <w:rFonts w:cs="TTE1C25C08t00"/>
        </w:rPr>
        <w:t>attuabili al fine di ridurre al minimo i rischi derivanti dall’esposizione al rumore</w:t>
      </w:r>
      <w:r>
        <w:rPr>
          <w:rFonts w:cs="TTE1C25C08t00"/>
        </w:rPr>
        <w:t>;</w:t>
      </w:r>
    </w:p>
    <w:p w:rsidR="008B0C6B" w:rsidRDefault="008B0C6B" w:rsidP="008B0C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E64B92">
        <w:rPr>
          <w:rFonts w:cs="TTE1C25C08t00"/>
        </w:rPr>
        <w:t xml:space="preserve">Verificare l’uso costante dei D.P.I. da parte di tutto il personale operante. </w:t>
      </w:r>
      <w:r w:rsidRPr="00E64B92">
        <w:rPr>
          <w:rFonts w:cs="Helvetica"/>
        </w:rPr>
        <w:t>( Art. 75 - 77 del</w:t>
      </w:r>
      <w:r>
        <w:rPr>
          <w:rFonts w:cs="Helvetica"/>
        </w:rPr>
        <w:t xml:space="preserve"> </w:t>
      </w:r>
      <w:r w:rsidRPr="00E64B92">
        <w:rPr>
          <w:rFonts w:cs="Helvetica"/>
        </w:rPr>
        <w:t>D.lgs. n.81/08 )</w:t>
      </w:r>
    </w:p>
    <w:p w:rsidR="008B0C6B" w:rsidRDefault="008B0C6B" w:rsidP="008B0C6B"/>
    <w:p w:rsidR="008B0C6B" w:rsidRPr="00304C96" w:rsidRDefault="008B0C6B" w:rsidP="008B0C6B">
      <w:pPr>
        <w:autoSpaceDE w:val="0"/>
        <w:autoSpaceDN w:val="0"/>
        <w:adjustRightInd w:val="0"/>
        <w:rPr>
          <w:rFonts w:cs="Verdana"/>
          <w:b/>
          <w:bCs/>
          <w:color w:val="000000"/>
          <w:sz w:val="24"/>
          <w:szCs w:val="24"/>
        </w:rPr>
      </w:pPr>
      <w:r w:rsidRPr="00304C96">
        <w:rPr>
          <w:rFonts w:cs="Verdana"/>
          <w:b/>
          <w:bCs/>
          <w:color w:val="000000"/>
          <w:sz w:val="28"/>
          <w:szCs w:val="28"/>
        </w:rPr>
        <w:t xml:space="preserve">DPI                                                                                                                                                                          </w:t>
      </w:r>
      <w:r w:rsidRPr="00304C96">
        <w:rPr>
          <w:rFonts w:cs="Verdana"/>
          <w:color w:val="000000"/>
        </w:rPr>
        <w:t>In funzione dei rischi evidenziati saranno utilizzati obbligatoriamente i seguenti DPI, di cui è riportata la descrizione ed i riferimenti normativi:</w:t>
      </w:r>
    </w:p>
    <w:tbl>
      <w:tblPr>
        <w:tblStyle w:val="Grigliatabella"/>
        <w:tblW w:w="0" w:type="auto"/>
        <w:tblLook w:val="04A0"/>
      </w:tblPr>
      <w:tblGrid>
        <w:gridCol w:w="2427"/>
        <w:gridCol w:w="2562"/>
        <w:gridCol w:w="2434"/>
        <w:gridCol w:w="2431"/>
      </w:tblGrid>
      <w:tr w:rsidR="008B0C6B" w:rsidTr="006A28B9">
        <w:tc>
          <w:tcPr>
            <w:tcW w:w="2427" w:type="dxa"/>
            <w:shd w:val="clear" w:color="auto" w:fill="FFC000"/>
          </w:tcPr>
          <w:p w:rsidR="008B0C6B" w:rsidRPr="008C212C" w:rsidRDefault="008B0C6B" w:rsidP="006A28B9">
            <w:pPr>
              <w:tabs>
                <w:tab w:val="left" w:pos="1350"/>
              </w:tabs>
              <w:jc w:val="center"/>
              <w:rPr>
                <w:b/>
                <w:sz w:val="20"/>
                <w:szCs w:val="20"/>
              </w:rPr>
            </w:pPr>
            <w:r w:rsidRPr="008C212C">
              <w:rPr>
                <w:b/>
                <w:sz w:val="20"/>
                <w:szCs w:val="20"/>
              </w:rPr>
              <w:t>RISCHI  EVIDENZIATI</w:t>
            </w:r>
          </w:p>
        </w:tc>
        <w:tc>
          <w:tcPr>
            <w:tcW w:w="2562" w:type="dxa"/>
            <w:shd w:val="clear" w:color="auto" w:fill="FFC000"/>
          </w:tcPr>
          <w:p w:rsidR="008B0C6B" w:rsidRDefault="008B0C6B" w:rsidP="006A28B9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DPI</w:t>
            </w:r>
          </w:p>
        </w:tc>
        <w:tc>
          <w:tcPr>
            <w:tcW w:w="2434" w:type="dxa"/>
            <w:shd w:val="clear" w:color="auto" w:fill="FFC000"/>
          </w:tcPr>
          <w:p w:rsidR="008B0C6B" w:rsidRDefault="008B0C6B" w:rsidP="006A28B9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431" w:type="dxa"/>
            <w:shd w:val="clear" w:color="auto" w:fill="FFC000"/>
          </w:tcPr>
          <w:p w:rsidR="008B0C6B" w:rsidRDefault="008B0C6B" w:rsidP="006A28B9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  <w:p w:rsidR="008B0C6B" w:rsidRPr="007D5FE0" w:rsidRDefault="008B0C6B" w:rsidP="006A28B9">
            <w:pPr>
              <w:tabs>
                <w:tab w:val="left" w:pos="135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8B0C6B" w:rsidTr="006A28B9"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8B0C6B" w:rsidRPr="00EB6770" w:rsidRDefault="008B0C6B" w:rsidP="006A28B9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Per protezione</w:t>
            </w:r>
          </w:p>
          <w:p w:rsidR="008B0C6B" w:rsidRPr="00EB6770" w:rsidRDefault="008B0C6B" w:rsidP="006A28B9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  <w:p w:rsidR="008B0C6B" w:rsidRPr="00EB6770" w:rsidRDefault="008B0C6B" w:rsidP="006A28B9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  <w:p w:rsidR="008B0C6B" w:rsidRPr="00EB6770" w:rsidRDefault="008B0C6B" w:rsidP="006A28B9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  <w:p w:rsidR="008B0C6B" w:rsidRPr="00EB6770" w:rsidRDefault="008B0C6B" w:rsidP="006A28B9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B6770">
              <w:rPr>
                <w:sz w:val="20"/>
                <w:szCs w:val="20"/>
              </w:rPr>
              <w:t xml:space="preserve"> </w:t>
            </w:r>
            <w:r w:rsidRPr="00EB6770">
              <w:rPr>
                <w:rFonts w:cs="Verdana"/>
                <w:b/>
                <w:color w:val="000000"/>
                <w:sz w:val="20"/>
                <w:szCs w:val="20"/>
              </w:rPr>
              <w:t>Tuta di protezione</w:t>
            </w:r>
          </w:p>
          <w:p w:rsidR="008B0C6B" w:rsidRPr="00EB6770" w:rsidRDefault="008B0C6B" w:rsidP="006A28B9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1958"/>
            </w:tblGrid>
            <w:tr w:rsidR="008B0C6B" w:rsidRPr="00EB6770" w:rsidTr="006A28B9">
              <w:trPr>
                <w:trHeight w:val="1520"/>
              </w:trPr>
              <w:tc>
                <w:tcPr>
                  <w:tcW w:w="1958" w:type="dxa"/>
                </w:tcPr>
                <w:p w:rsidR="008B0C6B" w:rsidRPr="00EB6770" w:rsidRDefault="008B0C6B" w:rsidP="006A28B9">
                  <w:pPr>
                    <w:tabs>
                      <w:tab w:val="left" w:pos="1350"/>
                    </w:tabs>
                    <w:rPr>
                      <w:sz w:val="20"/>
                      <w:szCs w:val="20"/>
                    </w:rPr>
                  </w:pPr>
                  <w:r w:rsidRPr="00EB6770">
                    <w:rPr>
                      <w:sz w:val="20"/>
                      <w:szCs w:val="20"/>
                    </w:rPr>
                    <w:t xml:space="preserve">    </w:t>
                  </w:r>
                  <w:r w:rsidRPr="00EB6770">
                    <w:rPr>
                      <w:sz w:val="20"/>
                      <w:szCs w:val="20"/>
                    </w:rPr>
                    <w:object w:dxaOrig="1515" w:dyaOrig="1710">
                      <v:shape id="_x0000_i1026" type="#_x0000_t75" style="width:76.5pt;height:75.75pt" o:ole="">
                        <v:imagedata r:id="rId9" o:title=""/>
                      </v:shape>
                      <o:OLEObject Type="Embed" ProgID="PBrush" ShapeID="_x0000_i1026" DrawAspect="Content" ObjectID="_1300527234" r:id="rId10"/>
                    </w:object>
                  </w:r>
                </w:p>
              </w:tc>
            </w:tr>
          </w:tbl>
          <w:p w:rsidR="008B0C6B" w:rsidRPr="00EB6770" w:rsidRDefault="008B0C6B" w:rsidP="006A28B9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:rsidR="008B0C6B" w:rsidRPr="00EB6770" w:rsidRDefault="008B0C6B" w:rsidP="006A28B9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EB6770">
              <w:rPr>
                <w:rFonts w:cs="Verdana"/>
                <w:color w:val="000000"/>
                <w:sz w:val="20"/>
                <w:szCs w:val="20"/>
              </w:rPr>
              <w:t>Da utilizzare nei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B6770">
              <w:rPr>
                <w:rFonts w:cs="Verdana"/>
                <w:color w:val="000000"/>
                <w:sz w:val="20"/>
                <w:szCs w:val="20"/>
              </w:rPr>
              <w:t>luoghi di lavoro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B6770">
              <w:rPr>
                <w:rFonts w:cs="Verdana"/>
                <w:color w:val="000000"/>
                <w:sz w:val="20"/>
                <w:szCs w:val="20"/>
              </w:rPr>
              <w:t>caratterizzati dalla presenza di mat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eriali e/o attrezzi che possono </w:t>
            </w:r>
            <w:r w:rsidRPr="00EB6770">
              <w:rPr>
                <w:rFonts w:cs="Verdana"/>
                <w:color w:val="000000"/>
                <w:sz w:val="20"/>
                <w:szCs w:val="20"/>
              </w:rPr>
              <w:t>causare fenomeni  di abrasione /taglio/ perforazione</w:t>
            </w:r>
          </w:p>
        </w:tc>
        <w:tc>
          <w:tcPr>
            <w:tcW w:w="2431" w:type="dxa"/>
          </w:tcPr>
          <w:p w:rsidR="008B0C6B" w:rsidRPr="00EB6770" w:rsidRDefault="008B0C6B" w:rsidP="006A28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Rif</w:t>
            </w:r>
            <w:r w:rsidRPr="00EB6770">
              <w:rPr>
                <w:b/>
                <w:sz w:val="20"/>
                <w:szCs w:val="20"/>
              </w:rPr>
              <w:t xml:space="preserve">  Normativo Art  75-77-79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EB6770">
              <w:rPr>
                <w:b/>
                <w:sz w:val="20"/>
                <w:szCs w:val="20"/>
              </w:rPr>
              <w:t xml:space="preserve"> del D.Lgs. n. 81/08           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6770">
              <w:rPr>
                <w:b/>
                <w:sz w:val="20"/>
                <w:szCs w:val="20"/>
              </w:rPr>
              <w:t xml:space="preserve">Allegato VIII  punti  3, 4 </w:t>
            </w:r>
            <w:r w:rsidRPr="00EB6770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n.7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B6770">
              <w:rPr>
                <w:b/>
                <w:sz w:val="20"/>
                <w:szCs w:val="20"/>
              </w:rPr>
              <w:t>del D.Lgs. n. 81/08</w:t>
            </w:r>
          </w:p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20"/>
                <w:szCs w:val="20"/>
              </w:rPr>
            </w:pPr>
            <w:r w:rsidRPr="00EB6770">
              <w:rPr>
                <w:rFonts w:cs="Verdana"/>
                <w:b/>
                <w:bCs/>
                <w:color w:val="000000"/>
                <w:sz w:val="20"/>
                <w:szCs w:val="20"/>
              </w:rPr>
              <w:t>UNI EN 340/04</w:t>
            </w:r>
          </w:p>
          <w:p w:rsidR="008B0C6B" w:rsidRDefault="008B0C6B" w:rsidP="006A28B9">
            <w:pPr>
              <w:autoSpaceDE w:val="0"/>
              <w:autoSpaceDN w:val="0"/>
              <w:adjustRightInd w:val="0"/>
              <w:rPr>
                <w:rFonts w:cs="Verdana"/>
                <w:bCs/>
                <w:i/>
                <w:color w:val="000000"/>
                <w:sz w:val="18"/>
                <w:szCs w:val="18"/>
              </w:rPr>
            </w:pPr>
            <w:r w:rsidRPr="00C71701">
              <w:rPr>
                <w:rFonts w:cs="Verdana"/>
                <w:bCs/>
                <w:i/>
                <w:color w:val="000000"/>
                <w:sz w:val="18"/>
                <w:szCs w:val="18"/>
              </w:rPr>
              <w:t>Indumenti di protezione</w:t>
            </w:r>
          </w:p>
          <w:p w:rsidR="008B0C6B" w:rsidRPr="007D5FE0" w:rsidRDefault="008B0C6B" w:rsidP="006A28B9">
            <w:pPr>
              <w:rPr>
                <w:b/>
              </w:rPr>
            </w:pPr>
            <w:r>
              <w:rPr>
                <w:rFonts w:cs="Verdana"/>
                <w:bCs/>
                <w:i/>
                <w:color w:val="000000"/>
                <w:sz w:val="18"/>
                <w:szCs w:val="18"/>
              </w:rPr>
              <w:t>Requisiti generali</w:t>
            </w:r>
          </w:p>
        </w:tc>
      </w:tr>
      <w:tr w:rsidR="008B0C6B" w:rsidTr="006A28B9">
        <w:tc>
          <w:tcPr>
            <w:tcW w:w="2427" w:type="dxa"/>
            <w:tcBorders>
              <w:bottom w:val="single" w:sz="4" w:space="0" w:color="auto"/>
            </w:tcBorders>
          </w:tcPr>
          <w:p w:rsidR="008B0C6B" w:rsidRPr="00EB6770" w:rsidRDefault="008B0C6B" w:rsidP="006A28B9">
            <w:pPr>
              <w:tabs>
                <w:tab w:val="left" w:pos="1350"/>
              </w:tabs>
            </w:pPr>
          </w:p>
          <w:p w:rsidR="008B0C6B" w:rsidRPr="00EB6770" w:rsidRDefault="008B0C6B" w:rsidP="006A28B9">
            <w:pPr>
              <w:tabs>
                <w:tab w:val="left" w:pos="1350"/>
              </w:tabs>
            </w:pPr>
          </w:p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Lesioni per caduta di</w:t>
            </w:r>
          </w:p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lastRenderedPageBreak/>
              <w:t>Materiali</w:t>
            </w:r>
            <w:r>
              <w:rPr>
                <w:rFonts w:cs="Verdana"/>
                <w:color w:val="000000"/>
              </w:rPr>
              <w:t xml:space="preserve"> demolito </w:t>
            </w:r>
            <w:r w:rsidRPr="00EB6770">
              <w:rPr>
                <w:rFonts w:cs="Verdana"/>
                <w:color w:val="000000"/>
              </w:rPr>
              <w:t xml:space="preserve"> o </w:t>
            </w:r>
            <w:r>
              <w:rPr>
                <w:rFonts w:cs="Verdana"/>
                <w:color w:val="000000"/>
              </w:rPr>
              <w:t xml:space="preserve">per attrezzi e/o </w:t>
            </w:r>
            <w:r w:rsidRPr="00EB6770">
              <w:rPr>
                <w:rFonts w:cs="Verdana"/>
                <w:color w:val="000000"/>
              </w:rPr>
              <w:t>utensili</w:t>
            </w:r>
            <w:r>
              <w:rPr>
                <w:rFonts w:cs="Verdana"/>
                <w:color w:val="000000"/>
              </w:rPr>
              <w:t xml:space="preserve"> </w:t>
            </w:r>
            <w:r w:rsidRPr="00EB6770">
              <w:rPr>
                <w:rFonts w:cs="Verdana"/>
                <w:color w:val="000000"/>
              </w:rPr>
              <w:t>vari</w:t>
            </w:r>
          </w:p>
          <w:p w:rsidR="008B0C6B" w:rsidRPr="00EB6770" w:rsidRDefault="008B0C6B" w:rsidP="006A28B9">
            <w:pPr>
              <w:tabs>
                <w:tab w:val="left" w:pos="1350"/>
              </w:tabs>
            </w:pPr>
          </w:p>
          <w:p w:rsidR="008B0C6B" w:rsidRPr="00EB6770" w:rsidRDefault="008B0C6B" w:rsidP="006A28B9">
            <w:pPr>
              <w:tabs>
                <w:tab w:val="left" w:pos="1350"/>
              </w:tabs>
            </w:pPr>
          </w:p>
          <w:p w:rsidR="008B0C6B" w:rsidRPr="00EB6770" w:rsidRDefault="008B0C6B" w:rsidP="006A28B9">
            <w:pPr>
              <w:tabs>
                <w:tab w:val="left" w:pos="1350"/>
              </w:tabs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8B0C6B" w:rsidRPr="00EB6770" w:rsidRDefault="008B0C6B" w:rsidP="006A28B9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</w:rPr>
            </w:pPr>
          </w:p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b/>
                <w:color w:val="000000"/>
              </w:rPr>
            </w:pPr>
            <w:r w:rsidRPr="00EB6770">
              <w:rPr>
                <w:rFonts w:cs="Verdana"/>
                <w:color w:val="000000"/>
              </w:rPr>
              <w:t xml:space="preserve">             </w:t>
            </w:r>
            <w:r w:rsidRPr="00EB6770">
              <w:rPr>
                <w:rFonts w:cs="Verdana"/>
                <w:b/>
                <w:color w:val="000000"/>
              </w:rPr>
              <w:t>Scarpe</w:t>
            </w:r>
          </w:p>
          <w:p w:rsidR="008B0C6B" w:rsidRPr="00EB6770" w:rsidRDefault="008B0C6B" w:rsidP="006A28B9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b/>
                <w:color w:val="000000"/>
              </w:rPr>
            </w:pPr>
            <w:r w:rsidRPr="00EB6770">
              <w:rPr>
                <w:rFonts w:cs="Verdana"/>
                <w:b/>
                <w:color w:val="000000"/>
              </w:rPr>
              <w:t>antinfortunistiche</w:t>
            </w:r>
          </w:p>
          <w:tbl>
            <w:tblPr>
              <w:tblW w:w="0" w:type="auto"/>
              <w:tblLook w:val="0000"/>
            </w:tblPr>
            <w:tblGrid>
              <w:gridCol w:w="2106"/>
            </w:tblGrid>
            <w:tr w:rsidR="008B0C6B" w:rsidRPr="00EB6770" w:rsidTr="006A28B9">
              <w:trPr>
                <w:trHeight w:val="1605"/>
              </w:trPr>
              <w:tc>
                <w:tcPr>
                  <w:tcW w:w="1830" w:type="dxa"/>
                </w:tcPr>
                <w:p w:rsidR="008B0C6B" w:rsidRPr="00EB6770" w:rsidRDefault="008B0C6B" w:rsidP="006A28B9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rPr>
                      <w:rFonts w:cs="Verdana"/>
                      <w:color w:val="000000"/>
                    </w:rPr>
                  </w:pPr>
                  <w:r w:rsidRPr="00EB6770">
                    <w:object w:dxaOrig="1890" w:dyaOrig="1200">
                      <v:shape id="_x0000_i1027" type="#_x0000_t75" style="width:94.5pt;height:60pt" o:ole="" o:bordertopcolor="this" o:borderbottomcolor="this">
                        <v:imagedata r:id="rId11" o:title=""/>
                      </v:shape>
                      <o:OLEObject Type="Embed" ProgID="PBrush" ShapeID="_x0000_i1027" DrawAspect="Content" ObjectID="_1300527235" r:id="rId12"/>
                    </w:object>
                  </w:r>
                </w:p>
              </w:tc>
            </w:tr>
          </w:tbl>
          <w:p w:rsidR="008B0C6B" w:rsidRPr="00EB6770" w:rsidRDefault="008B0C6B" w:rsidP="006A28B9">
            <w:pPr>
              <w:tabs>
                <w:tab w:val="left" w:pos="1350"/>
              </w:tabs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lastRenderedPageBreak/>
              <w:t>Puntale rinforzato in</w:t>
            </w:r>
          </w:p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acciaio contro</w:t>
            </w:r>
          </w:p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schiacciamento/abra</w:t>
            </w:r>
          </w:p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lastRenderedPageBreak/>
              <w:t>sioni/perforazione/</w:t>
            </w:r>
          </w:p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ferite degli arti</w:t>
            </w:r>
          </w:p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inferiori e suola</w:t>
            </w:r>
          </w:p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antiscivolo e per</w:t>
            </w:r>
          </w:p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salvaguardare la</w:t>
            </w:r>
          </w:p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caviglia da distorsioni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8B0C6B" w:rsidRPr="00EB6770" w:rsidRDefault="008B0C6B" w:rsidP="006A28B9">
            <w:pPr>
              <w:rPr>
                <w:b/>
                <w:sz w:val="20"/>
                <w:szCs w:val="20"/>
              </w:rPr>
            </w:pPr>
            <w:r w:rsidRPr="00EB6770">
              <w:rPr>
                <w:b/>
                <w:sz w:val="20"/>
                <w:szCs w:val="20"/>
              </w:rPr>
              <w:lastRenderedPageBreak/>
              <w:t>Rif Normativo Art  75-77-79    del D.Lgs. n. 81/08</w:t>
            </w:r>
            <w:r w:rsidRPr="00EB6770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6770">
              <w:rPr>
                <w:b/>
                <w:sz w:val="20"/>
                <w:szCs w:val="20"/>
              </w:rPr>
              <w:t xml:space="preserve">           </w:t>
            </w:r>
          </w:p>
          <w:p w:rsidR="008B0C6B" w:rsidRPr="00C71701" w:rsidRDefault="008B0C6B" w:rsidP="006A28B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B6770">
              <w:rPr>
                <w:b/>
                <w:sz w:val="20"/>
                <w:szCs w:val="20"/>
              </w:rPr>
              <w:t xml:space="preserve">Allegato VIII  punti  3, 4 </w:t>
            </w:r>
            <w:r w:rsidRPr="00EB6770">
              <w:rPr>
                <w:rFonts w:cs="Verdana"/>
                <w:b/>
                <w:bCs/>
                <w:color w:val="000000"/>
                <w:sz w:val="20"/>
                <w:szCs w:val="20"/>
              </w:rPr>
              <w:t>n.</w:t>
            </w:r>
            <w:r w:rsidRPr="00EB6770">
              <w:rPr>
                <w:b/>
                <w:sz w:val="20"/>
                <w:szCs w:val="20"/>
              </w:rPr>
              <w:t>6  del D.Lgs. n. 81/08</w:t>
            </w:r>
            <w:r w:rsidRPr="00EB6770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 EN </w:t>
            </w:r>
            <w:r w:rsidRPr="00EB6770">
              <w:rPr>
                <w:rFonts w:cs="Verdana"/>
                <w:b/>
                <w:bCs/>
                <w:color w:val="000000"/>
                <w:sz w:val="20"/>
                <w:szCs w:val="20"/>
              </w:rPr>
              <w:lastRenderedPageBreak/>
              <w:t>344/345 (1992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)</w:t>
            </w:r>
          </w:p>
          <w:p w:rsidR="008B0C6B" w:rsidRPr="00D464AD" w:rsidRDefault="008B0C6B" w:rsidP="006A28B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C71701">
              <w:rPr>
                <w:i/>
                <w:sz w:val="18"/>
                <w:szCs w:val="18"/>
              </w:rPr>
              <w:t>Requisiti e metodi di prova per calzature di</w:t>
            </w:r>
            <w:r>
              <w:rPr>
                <w:i/>
                <w:sz w:val="18"/>
                <w:szCs w:val="18"/>
              </w:rPr>
              <w:t xml:space="preserve">  </w:t>
            </w:r>
            <w:r w:rsidRPr="00C71701">
              <w:rPr>
                <w:i/>
                <w:sz w:val="18"/>
                <w:szCs w:val="18"/>
              </w:rPr>
              <w:t>sicurezza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71701">
              <w:rPr>
                <w:i/>
                <w:sz w:val="18"/>
                <w:szCs w:val="18"/>
              </w:rPr>
              <w:t>,protettive e occupazionali per uso professionale</w:t>
            </w:r>
          </w:p>
        </w:tc>
      </w:tr>
      <w:tr w:rsidR="008B0C6B" w:rsidRPr="00D464AD" w:rsidTr="006A28B9">
        <w:trPr>
          <w:trHeight w:val="18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0C6B" w:rsidRPr="00FF4823" w:rsidRDefault="008B0C6B" w:rsidP="006A28B9">
            <w:pPr>
              <w:tabs>
                <w:tab w:val="left" w:pos="1350"/>
              </w:tabs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6B" w:rsidRPr="00FF4823" w:rsidRDefault="008B0C6B" w:rsidP="006A28B9">
            <w:pPr>
              <w:pStyle w:val="Nessunaspaziatura"/>
            </w:pPr>
          </w:p>
          <w:p w:rsidR="008B0C6B" w:rsidRPr="00FF4823" w:rsidRDefault="008B0C6B" w:rsidP="006A28B9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color w:val="000000"/>
              </w:rPr>
            </w:pPr>
            <w:r w:rsidRPr="00FF4823">
              <w:rPr>
                <w:rFonts w:cs="Verdana"/>
                <w:color w:val="000000"/>
              </w:rPr>
              <w:t xml:space="preserve">                                                  </w:t>
            </w:r>
            <w:r w:rsidRPr="00FF4823">
              <w:rPr>
                <w:rFonts w:cs="Verdana"/>
                <w:b/>
                <w:color w:val="000000"/>
              </w:rPr>
              <w:t>Casco protettivo</w:t>
            </w:r>
          </w:p>
          <w:tbl>
            <w:tblPr>
              <w:tblW w:w="0" w:type="auto"/>
              <w:tblLook w:val="04A0"/>
            </w:tblPr>
            <w:tblGrid>
              <w:gridCol w:w="1958"/>
            </w:tblGrid>
            <w:tr w:rsidR="008B0C6B" w:rsidRPr="00FF4823" w:rsidTr="006A28B9">
              <w:trPr>
                <w:trHeight w:val="1520"/>
              </w:trPr>
              <w:tc>
                <w:tcPr>
                  <w:tcW w:w="1958" w:type="dxa"/>
                </w:tcPr>
                <w:p w:rsidR="008B0C6B" w:rsidRPr="00FF4823" w:rsidRDefault="008B0C6B" w:rsidP="006A28B9">
                  <w:pPr>
                    <w:tabs>
                      <w:tab w:val="left" w:pos="1350"/>
                    </w:tabs>
                  </w:pPr>
                  <w:r w:rsidRPr="00FF4823">
                    <w:t xml:space="preserve">    </w:t>
                  </w:r>
                  <w:r w:rsidRPr="00FF4823">
                    <w:object w:dxaOrig="1500" w:dyaOrig="1500">
                      <v:shape id="_x0000_i1028" type="#_x0000_t75" style="width:75pt;height:75pt" o:ole="">
                        <v:imagedata r:id="rId13" o:title=""/>
                      </v:shape>
                      <o:OLEObject Type="Embed" ProgID="PBrush" ShapeID="_x0000_i1028" DrawAspect="Content" ObjectID="_1300527236" r:id="rId14"/>
                    </w:object>
                  </w:r>
                  <w:r>
                    <w:t xml:space="preserve">   </w:t>
                  </w:r>
                </w:p>
              </w:tc>
            </w:tr>
          </w:tbl>
          <w:p w:rsidR="008B0C6B" w:rsidRPr="00FF4823" w:rsidRDefault="008B0C6B" w:rsidP="006A28B9">
            <w:pPr>
              <w:tabs>
                <w:tab w:val="left" w:pos="1350"/>
              </w:tabs>
            </w:pPr>
            <w: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6B" w:rsidRPr="00FF4823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  <w:p w:rsidR="008B0C6B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>Dispositivo utile a proteggere dal rischio di offesa al capo per caduta di materiale dall’alto o comunque per contatti con elementi pericolosi</w:t>
            </w:r>
            <w:r>
              <w:rPr>
                <w:rFonts w:cs="Verdana"/>
                <w:color w:val="000000"/>
              </w:rPr>
              <w:t xml:space="preserve">                       </w:t>
            </w:r>
          </w:p>
          <w:p w:rsidR="008B0C6B" w:rsidRPr="00FF4823" w:rsidRDefault="008B0C6B" w:rsidP="006A28B9">
            <w:pPr>
              <w:jc w:val="right"/>
              <w:rPr>
                <w:rFonts w:cs="Verdana"/>
              </w:rPr>
            </w:pPr>
            <w:r>
              <w:rPr>
                <w:rFonts w:cs="Verdana"/>
              </w:rPr>
              <w:t xml:space="preserve">                                       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6B" w:rsidRPr="00770002" w:rsidRDefault="008B0C6B" w:rsidP="006A28B9">
            <w:pPr>
              <w:rPr>
                <w:b/>
                <w:sz w:val="18"/>
                <w:szCs w:val="18"/>
              </w:rPr>
            </w:pPr>
          </w:p>
          <w:p w:rsidR="008B0C6B" w:rsidRPr="00770002" w:rsidRDefault="008B0C6B" w:rsidP="006A28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Rif</w:t>
            </w:r>
            <w:r w:rsidRPr="00770002">
              <w:rPr>
                <w:b/>
                <w:sz w:val="18"/>
                <w:szCs w:val="18"/>
              </w:rPr>
              <w:t xml:space="preserve">  Normativo Art  7</w:t>
            </w:r>
            <w:r>
              <w:rPr>
                <w:b/>
                <w:sz w:val="18"/>
                <w:szCs w:val="18"/>
              </w:rPr>
              <w:t xml:space="preserve">5-77-79     </w:t>
            </w:r>
            <w:r w:rsidRPr="00770002">
              <w:rPr>
                <w:b/>
                <w:sz w:val="18"/>
                <w:szCs w:val="18"/>
              </w:rPr>
              <w:t>de</w:t>
            </w:r>
            <w:r>
              <w:rPr>
                <w:b/>
                <w:sz w:val="18"/>
                <w:szCs w:val="18"/>
              </w:rPr>
              <w:t xml:space="preserve">l D.Lgs. n. 81/08              </w:t>
            </w:r>
          </w:p>
          <w:p w:rsidR="008B0C6B" w:rsidRPr="00770002" w:rsidRDefault="008B0C6B" w:rsidP="006A28B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70002">
              <w:rPr>
                <w:b/>
                <w:sz w:val="18"/>
                <w:szCs w:val="18"/>
              </w:rPr>
              <w:t xml:space="preserve">Allegato VIII  punti  3, 4 </w:t>
            </w:r>
            <w:r w:rsidRPr="00770002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n.1 </w:t>
            </w:r>
            <w:r w:rsidRPr="00770002">
              <w:rPr>
                <w:b/>
                <w:sz w:val="18"/>
                <w:szCs w:val="18"/>
              </w:rPr>
              <w:t xml:space="preserve"> </w:t>
            </w:r>
          </w:p>
          <w:p w:rsidR="008B0C6B" w:rsidRPr="00770002" w:rsidRDefault="008B0C6B" w:rsidP="006A28B9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 w:rsidRPr="00770002">
              <w:rPr>
                <w:b/>
                <w:sz w:val="18"/>
                <w:szCs w:val="18"/>
              </w:rPr>
              <w:t>del D.Lgs. n. 81/08</w:t>
            </w:r>
          </w:p>
          <w:p w:rsidR="008B0C6B" w:rsidRPr="00770002" w:rsidRDefault="008B0C6B" w:rsidP="006A28B9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 w:rsidRPr="00770002">
              <w:rPr>
                <w:rFonts w:cs="Verdana"/>
                <w:b/>
                <w:bCs/>
                <w:color w:val="000000"/>
                <w:sz w:val="18"/>
                <w:szCs w:val="18"/>
              </w:rPr>
              <w:t>UNI EN 11114 -2004</w:t>
            </w:r>
          </w:p>
          <w:p w:rsidR="008B0C6B" w:rsidRDefault="008B0C6B" w:rsidP="006A28B9">
            <w:pPr>
              <w:autoSpaceDE w:val="0"/>
              <w:autoSpaceDN w:val="0"/>
              <w:adjustRightInd w:val="0"/>
              <w:rPr>
                <w:rFonts w:cs="Verdana"/>
                <w:bCs/>
                <w:i/>
                <w:color w:val="000000"/>
                <w:sz w:val="18"/>
                <w:szCs w:val="18"/>
              </w:rPr>
            </w:pPr>
            <w:r w:rsidRPr="00770002">
              <w:rPr>
                <w:rFonts w:cs="Verdana"/>
                <w:bCs/>
                <w:i/>
                <w:color w:val="000000"/>
                <w:sz w:val="18"/>
                <w:szCs w:val="18"/>
              </w:rPr>
              <w:t>Elmetti di protezione Guida per la selezione</w:t>
            </w:r>
          </w:p>
          <w:p w:rsidR="008B0C6B" w:rsidRDefault="008B0C6B" w:rsidP="006A28B9">
            <w:pPr>
              <w:rPr>
                <w:rFonts w:cs="Verdana"/>
                <w:sz w:val="18"/>
                <w:szCs w:val="18"/>
              </w:rPr>
            </w:pPr>
          </w:p>
          <w:p w:rsidR="008B0C6B" w:rsidRDefault="008B0C6B" w:rsidP="006A28B9">
            <w:pPr>
              <w:rPr>
                <w:rFonts w:cs="Verdana"/>
                <w:sz w:val="18"/>
                <w:szCs w:val="18"/>
              </w:rPr>
            </w:pPr>
          </w:p>
          <w:p w:rsidR="008B0C6B" w:rsidRDefault="008B0C6B" w:rsidP="006A28B9">
            <w:pPr>
              <w:rPr>
                <w:rFonts w:cs="Verdana"/>
                <w:sz w:val="18"/>
                <w:szCs w:val="18"/>
              </w:rPr>
            </w:pPr>
          </w:p>
          <w:p w:rsidR="008B0C6B" w:rsidRPr="00320895" w:rsidRDefault="008B0C6B" w:rsidP="006A28B9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</w:tr>
      <w:tr w:rsidR="008B0C6B" w:rsidRPr="00D464AD" w:rsidTr="006A28B9">
        <w:trPr>
          <w:trHeight w:val="2670"/>
        </w:trPr>
        <w:tc>
          <w:tcPr>
            <w:tcW w:w="2427" w:type="dxa"/>
            <w:tcBorders>
              <w:top w:val="nil"/>
              <w:right w:val="single" w:sz="4" w:space="0" w:color="auto"/>
            </w:tcBorders>
          </w:tcPr>
          <w:p w:rsidR="008B0C6B" w:rsidRPr="00FF4823" w:rsidRDefault="008B0C6B" w:rsidP="006A28B9">
            <w:pPr>
              <w:tabs>
                <w:tab w:val="left" w:pos="1350"/>
              </w:tabs>
            </w:pPr>
          </w:p>
          <w:p w:rsidR="008B0C6B" w:rsidRPr="00FF4823" w:rsidRDefault="008B0C6B" w:rsidP="006A28B9">
            <w:pPr>
              <w:tabs>
                <w:tab w:val="left" w:pos="1350"/>
              </w:tabs>
            </w:pPr>
            <w:r w:rsidRPr="00FF4823">
              <w:t xml:space="preserve">Caduta di materiali </w:t>
            </w:r>
            <w:r>
              <w:t xml:space="preserve"> dall’alto</w:t>
            </w: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6B" w:rsidRPr="00FF4823" w:rsidRDefault="008B0C6B" w:rsidP="006A28B9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6B" w:rsidRPr="00FF4823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6B" w:rsidRPr="007D5FE0" w:rsidRDefault="008B0C6B" w:rsidP="006A28B9">
            <w:pPr>
              <w:rPr>
                <w:b/>
              </w:rPr>
            </w:pPr>
          </w:p>
        </w:tc>
      </w:tr>
      <w:tr w:rsidR="008B0C6B" w:rsidRPr="00D464AD" w:rsidTr="006A28B9">
        <w:tc>
          <w:tcPr>
            <w:tcW w:w="2427" w:type="dxa"/>
          </w:tcPr>
          <w:p w:rsidR="008B0C6B" w:rsidRPr="00FF4823" w:rsidRDefault="008B0C6B" w:rsidP="006A28B9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  <w:p w:rsidR="008B0C6B" w:rsidRPr="00FF4823" w:rsidRDefault="008B0C6B" w:rsidP="006A28B9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>Lesioni per contatto</w:t>
            </w:r>
          </w:p>
          <w:p w:rsidR="008B0C6B" w:rsidRPr="00FF4823" w:rsidRDefault="008B0C6B" w:rsidP="006A28B9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>con organi mobili</w:t>
            </w:r>
          </w:p>
          <w:p w:rsidR="008B0C6B" w:rsidRPr="00FF4823" w:rsidRDefault="008B0C6B" w:rsidP="006A28B9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>durante le lavorazioni</w:t>
            </w:r>
          </w:p>
          <w:p w:rsidR="008B0C6B" w:rsidRPr="00FF4823" w:rsidRDefault="008B0C6B" w:rsidP="006A28B9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>e gli interventi di</w:t>
            </w:r>
          </w:p>
          <w:p w:rsidR="008B0C6B" w:rsidRPr="00FF4823" w:rsidRDefault="008B0C6B" w:rsidP="006A28B9">
            <w:pPr>
              <w:tabs>
                <w:tab w:val="left" w:pos="1350"/>
              </w:tabs>
              <w:jc w:val="center"/>
            </w:pPr>
            <w:r w:rsidRPr="00FF4823">
              <w:rPr>
                <w:rFonts w:cs="Verdana"/>
                <w:color w:val="000000"/>
              </w:rPr>
              <w:t>manutenzione</w:t>
            </w:r>
            <w:r>
              <w:rPr>
                <w:rFonts w:cs="Verdana"/>
                <w:color w:val="000000"/>
              </w:rPr>
              <w:t xml:space="preserve"> con attrezzi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8B0C6B" w:rsidRPr="00FF4823" w:rsidRDefault="008B0C6B" w:rsidP="006A28B9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 xml:space="preserve"> </w:t>
            </w:r>
          </w:p>
          <w:p w:rsidR="008B0C6B" w:rsidRPr="00FF4823" w:rsidRDefault="008B0C6B" w:rsidP="006A28B9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b/>
                <w:color w:val="000000"/>
              </w:rPr>
            </w:pPr>
            <w:r w:rsidRPr="00FF4823">
              <w:rPr>
                <w:rFonts w:cs="Verdana"/>
                <w:color w:val="000000"/>
              </w:rPr>
              <w:t xml:space="preserve">   </w:t>
            </w:r>
            <w:r w:rsidRPr="00FF4823">
              <w:rPr>
                <w:rFonts w:cs="Verdana"/>
                <w:b/>
                <w:color w:val="000000"/>
              </w:rPr>
              <w:t>Guanti</w:t>
            </w:r>
          </w:p>
          <w:tbl>
            <w:tblPr>
              <w:tblW w:w="0" w:type="auto"/>
              <w:tblLook w:val="0060"/>
            </w:tblPr>
            <w:tblGrid>
              <w:gridCol w:w="2235"/>
            </w:tblGrid>
            <w:tr w:rsidR="008B0C6B" w:rsidRPr="00FF4823" w:rsidTr="006A28B9">
              <w:trPr>
                <w:trHeight w:val="1725"/>
              </w:trPr>
              <w:tc>
                <w:tcPr>
                  <w:tcW w:w="2235" w:type="dxa"/>
                </w:tcPr>
                <w:p w:rsidR="008B0C6B" w:rsidRPr="00FF4823" w:rsidRDefault="008B0C6B" w:rsidP="006A28B9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rPr>
                      <w:rFonts w:cs="Verdana"/>
                      <w:color w:val="000000"/>
                    </w:rPr>
                  </w:pPr>
                  <w:r w:rsidRPr="00FF4823">
                    <w:object w:dxaOrig="1185" w:dyaOrig="1365">
                      <v:shape id="_x0000_i1029" type="#_x0000_t75" style="width:67.5pt;height:90pt" o:ole="">
                        <v:imagedata r:id="rId15" o:title=""/>
                      </v:shape>
                      <o:OLEObject Type="Embed" ProgID="PBrush" ShapeID="_x0000_i1029" DrawAspect="Content" ObjectID="_1300527237" r:id="rId16"/>
                    </w:object>
                  </w:r>
                </w:p>
              </w:tc>
            </w:tr>
          </w:tbl>
          <w:p w:rsidR="008B0C6B" w:rsidRPr="00FF4823" w:rsidRDefault="008B0C6B" w:rsidP="006A28B9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8B0C6B" w:rsidRPr="00FF4823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>Da utilizzare nei</w:t>
            </w:r>
          </w:p>
          <w:p w:rsidR="008B0C6B" w:rsidRPr="00FF4823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>luoghi di lavoro caratterizzati dalla</w:t>
            </w:r>
          </w:p>
          <w:p w:rsidR="008B0C6B" w:rsidRPr="00FF4823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>presenza di materiali e/o attrezzi che possono causare fenomeni di</w:t>
            </w:r>
          </w:p>
          <w:p w:rsidR="008B0C6B" w:rsidRPr="00FF4823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>abrasione/taglio/perfo_</w:t>
            </w:r>
          </w:p>
          <w:p w:rsidR="008B0C6B" w:rsidRPr="00FF4823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>razione delle mani</w:t>
            </w:r>
          </w:p>
          <w:p w:rsidR="008B0C6B" w:rsidRPr="00FF4823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8B0C6B" w:rsidRPr="00FF4823" w:rsidRDefault="008B0C6B" w:rsidP="006A28B9">
            <w:pPr>
              <w:rPr>
                <w:b/>
                <w:sz w:val="20"/>
                <w:szCs w:val="20"/>
              </w:rPr>
            </w:pPr>
            <w:r w:rsidRPr="00FF4823">
              <w:rPr>
                <w:b/>
                <w:sz w:val="20"/>
                <w:szCs w:val="20"/>
              </w:rPr>
              <w:t xml:space="preserve">Rif  Normativo Art  75-77-79     del D.Lgs. n. 81/08          </w:t>
            </w:r>
          </w:p>
          <w:p w:rsidR="008B0C6B" w:rsidRPr="00FF4823" w:rsidRDefault="008B0C6B" w:rsidP="006A28B9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20"/>
                <w:szCs w:val="20"/>
              </w:rPr>
            </w:pPr>
            <w:r w:rsidRPr="00FF4823">
              <w:rPr>
                <w:b/>
                <w:sz w:val="20"/>
                <w:szCs w:val="20"/>
              </w:rPr>
              <w:t xml:space="preserve">Allegato VIII  punti  3, 4 </w:t>
            </w:r>
            <w:r w:rsidRPr="00FF4823">
              <w:rPr>
                <w:rFonts w:cs="Verdana"/>
                <w:b/>
                <w:bCs/>
                <w:color w:val="000000"/>
                <w:sz w:val="20"/>
                <w:szCs w:val="20"/>
              </w:rPr>
              <w:t>n.5</w:t>
            </w:r>
            <w:r w:rsidRPr="00FF4823">
              <w:rPr>
                <w:b/>
                <w:sz w:val="20"/>
                <w:szCs w:val="20"/>
              </w:rPr>
              <w:t xml:space="preserve">  del D.Lgs. n. 81/08</w:t>
            </w:r>
          </w:p>
          <w:p w:rsidR="008B0C6B" w:rsidRPr="00FF4823" w:rsidRDefault="008B0C6B" w:rsidP="006A28B9">
            <w:pPr>
              <w:rPr>
                <w:b/>
                <w:sz w:val="20"/>
                <w:szCs w:val="20"/>
              </w:rPr>
            </w:pPr>
            <w:r w:rsidRPr="00FF4823">
              <w:rPr>
                <w:rFonts w:cs="Verdana"/>
                <w:b/>
                <w:bCs/>
                <w:color w:val="000000"/>
                <w:sz w:val="20"/>
                <w:szCs w:val="20"/>
              </w:rPr>
              <w:t>UNI EN 388/2004</w:t>
            </w:r>
          </w:p>
          <w:p w:rsidR="008B0C6B" w:rsidRPr="00C71701" w:rsidRDefault="008B0C6B" w:rsidP="006A28B9">
            <w:pPr>
              <w:rPr>
                <w:i/>
                <w:sz w:val="18"/>
                <w:szCs w:val="18"/>
              </w:rPr>
            </w:pPr>
            <w:r w:rsidRPr="00C71701">
              <w:rPr>
                <w:i/>
                <w:sz w:val="18"/>
                <w:szCs w:val="18"/>
              </w:rPr>
              <w:t>Guanti di protezione rischi meccanici</w:t>
            </w:r>
          </w:p>
        </w:tc>
      </w:tr>
      <w:tr w:rsidR="008B0C6B" w:rsidRPr="00D464AD" w:rsidTr="006A28B9">
        <w:tc>
          <w:tcPr>
            <w:tcW w:w="2427" w:type="dxa"/>
          </w:tcPr>
          <w:p w:rsidR="008B0C6B" w:rsidRDefault="008B0C6B" w:rsidP="006A28B9">
            <w:pPr>
              <w:tabs>
                <w:tab w:val="left" w:pos="1350"/>
              </w:tabs>
            </w:pPr>
          </w:p>
          <w:p w:rsidR="008B0C6B" w:rsidRPr="00E758D8" w:rsidRDefault="008B0C6B" w:rsidP="006A28B9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E758D8">
              <w:rPr>
                <w:sz w:val="20"/>
                <w:szCs w:val="20"/>
              </w:rPr>
              <w:t xml:space="preserve">Durante l’uso </w:t>
            </w:r>
            <w:r>
              <w:rPr>
                <w:sz w:val="20"/>
                <w:szCs w:val="20"/>
              </w:rPr>
              <w:t xml:space="preserve">del mezzi meccanici  </w:t>
            </w:r>
            <w:r w:rsidRPr="00E758D8">
              <w:rPr>
                <w:sz w:val="20"/>
                <w:szCs w:val="20"/>
              </w:rPr>
              <w:t>per ridurre i rischi da rumore( se da valutazione)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8B0C6B" w:rsidRPr="009B3344" w:rsidRDefault="008B0C6B" w:rsidP="006A28B9">
            <w:r>
              <w:t xml:space="preserve">       </w:t>
            </w:r>
            <w:r w:rsidRPr="009B3344">
              <w:rPr>
                <w:b/>
              </w:rPr>
              <w:t>otoprotettore</w:t>
            </w: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956"/>
            </w:tblGrid>
            <w:tr w:rsidR="008B0C6B" w:rsidTr="006A28B9">
              <w:trPr>
                <w:trHeight w:val="1318"/>
              </w:trPr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0C6B" w:rsidRDefault="008B0C6B" w:rsidP="006A28B9">
                  <w:pPr>
                    <w:pStyle w:val="Nessunaspaziatura"/>
                    <w:jc w:val="center"/>
                  </w:pPr>
                  <w:r>
                    <w:object w:dxaOrig="1800" w:dyaOrig="1800">
                      <v:shape id="_x0000_i1030" type="#_x0000_t75" style="width:90pt;height:90pt" o:ole="">
                        <v:imagedata r:id="rId17" o:title=""/>
                      </v:shape>
                      <o:OLEObject Type="Embed" ProgID="PBrush" ShapeID="_x0000_i1030" DrawAspect="Content" ObjectID="_1300527238" r:id="rId18"/>
                    </w:object>
                  </w:r>
                </w:p>
              </w:tc>
            </w:tr>
          </w:tbl>
          <w:p w:rsidR="008B0C6B" w:rsidRPr="000F2355" w:rsidRDefault="008B0C6B" w:rsidP="006A28B9">
            <w:pPr>
              <w:pStyle w:val="Nessunaspaziatura"/>
              <w:jc w:val="center"/>
            </w:pP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8B0C6B" w:rsidRPr="00596483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  <w:p w:rsidR="008B0C6B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Utilizzabile</w:t>
            </w:r>
            <w:r w:rsidRPr="00E758D8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sempre </w:t>
            </w: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8B0C6B" w:rsidRPr="00596483" w:rsidRDefault="008B0C6B" w:rsidP="006A28B9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Rif. Normativo  </w:t>
            </w: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>Art</w:t>
            </w: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7</w:t>
            </w: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5 – 77 – 79 D.lgs.  </w:t>
            </w: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n.81/08 </w:t>
            </w:r>
          </w:p>
          <w:p w:rsidR="008B0C6B" w:rsidRPr="00596483" w:rsidRDefault="008B0C6B" w:rsidP="006A28B9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>Allegato VIII punti</w:t>
            </w: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>3,4 n.3</w:t>
            </w: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D.lgs. </w:t>
            </w: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n.81/08 </w:t>
            </w:r>
          </w:p>
          <w:p w:rsidR="008B0C6B" w:rsidRPr="00596483" w:rsidRDefault="008B0C6B" w:rsidP="006A28B9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6483">
              <w:rPr>
                <w:rFonts w:cs="Verdana"/>
                <w:b/>
                <w:bCs/>
                <w:i/>
                <w:iCs/>
                <w:color w:val="000000"/>
                <w:sz w:val="18"/>
                <w:szCs w:val="18"/>
              </w:rPr>
              <w:t>EN 352-1 (1993)</w:t>
            </w:r>
          </w:p>
          <w:p w:rsidR="008B0C6B" w:rsidRPr="00596483" w:rsidRDefault="008B0C6B" w:rsidP="006A28B9">
            <w:pPr>
              <w:autoSpaceDE w:val="0"/>
              <w:autoSpaceDN w:val="0"/>
              <w:adjustRightInd w:val="0"/>
              <w:rPr>
                <w:rFonts w:cs="Verdana"/>
                <w:i/>
                <w:iCs/>
                <w:color w:val="000000"/>
                <w:sz w:val="18"/>
                <w:szCs w:val="18"/>
              </w:rPr>
            </w:pPr>
            <w:r w:rsidRPr="00596483">
              <w:rPr>
                <w:rFonts w:cs="Verdana"/>
                <w:i/>
                <w:iCs/>
                <w:color w:val="000000"/>
                <w:sz w:val="18"/>
                <w:szCs w:val="18"/>
              </w:rPr>
              <w:t>P</w:t>
            </w:r>
            <w:r>
              <w:rPr>
                <w:rFonts w:cs="Verdana"/>
                <w:i/>
                <w:iCs/>
                <w:color w:val="000000"/>
                <w:sz w:val="18"/>
                <w:szCs w:val="18"/>
              </w:rPr>
              <w:t xml:space="preserve">rotettori auricolari. Requisiti di sicurezza e prove. Parte 1: </w:t>
            </w:r>
            <w:r w:rsidRPr="00596483">
              <w:rPr>
                <w:rFonts w:cs="Verdana"/>
                <w:i/>
                <w:iCs/>
                <w:color w:val="000000"/>
                <w:sz w:val="18"/>
                <w:szCs w:val="18"/>
              </w:rPr>
              <w:t>cuffie</w:t>
            </w:r>
          </w:p>
          <w:p w:rsidR="008B0C6B" w:rsidRPr="007D5FE0" w:rsidRDefault="008B0C6B" w:rsidP="006A28B9">
            <w:pPr>
              <w:rPr>
                <w:b/>
              </w:rPr>
            </w:pPr>
            <w:r w:rsidRPr="00596483">
              <w:rPr>
                <w:rFonts w:cs="Verdana"/>
                <w:color w:val="000000"/>
                <w:sz w:val="18"/>
                <w:szCs w:val="18"/>
              </w:rPr>
              <w:t>dlgs 81/08</w:t>
            </w:r>
          </w:p>
        </w:tc>
      </w:tr>
      <w:tr w:rsidR="008B0C6B" w:rsidRPr="00EB6770" w:rsidTr="006A28B9">
        <w:trPr>
          <w:trHeight w:val="784"/>
        </w:trPr>
        <w:tc>
          <w:tcPr>
            <w:tcW w:w="2427" w:type="dxa"/>
          </w:tcPr>
          <w:p w:rsidR="008B0C6B" w:rsidRPr="00EB6770" w:rsidRDefault="008B0C6B" w:rsidP="006A28B9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EB6770">
              <w:rPr>
                <w:rFonts w:cs="Verdana"/>
                <w:color w:val="000000"/>
                <w:sz w:val="20"/>
                <w:szCs w:val="20"/>
              </w:rPr>
              <w:t>Inalazione di polvere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da maceria</w:t>
            </w:r>
          </w:p>
          <w:p w:rsidR="008B0C6B" w:rsidRPr="00EB6770" w:rsidRDefault="008B0C6B" w:rsidP="006A28B9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  <w:p w:rsidR="008B0C6B" w:rsidRPr="00EB6770" w:rsidRDefault="008B0C6B" w:rsidP="006A28B9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  <w:p w:rsidR="008B0C6B" w:rsidRPr="00EB6770" w:rsidRDefault="008B0C6B" w:rsidP="006A28B9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  <w:p w:rsidR="008B0C6B" w:rsidRPr="00EB6770" w:rsidRDefault="008B0C6B" w:rsidP="006A28B9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  <w:p w:rsidR="008B0C6B" w:rsidRPr="00EB6770" w:rsidRDefault="008B0C6B" w:rsidP="006A28B9">
            <w:pPr>
              <w:rPr>
                <w:sz w:val="20"/>
                <w:szCs w:val="20"/>
              </w:rPr>
            </w:pPr>
          </w:p>
        </w:tc>
        <w:tc>
          <w:tcPr>
            <w:tcW w:w="2562" w:type="dxa"/>
          </w:tcPr>
          <w:p w:rsidR="008B0C6B" w:rsidRPr="00EB6770" w:rsidRDefault="008B0C6B" w:rsidP="006A28B9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b/>
                <w:color w:val="000000"/>
                <w:sz w:val="20"/>
                <w:szCs w:val="20"/>
              </w:rPr>
            </w:pPr>
            <w:r w:rsidRPr="00EB67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B6770">
              <w:rPr>
                <w:rFonts w:cs="Verdana"/>
                <w:b/>
                <w:color w:val="000000"/>
                <w:sz w:val="20"/>
                <w:szCs w:val="20"/>
              </w:rPr>
              <w:t>Facciale filtrante</w:t>
            </w:r>
          </w:p>
          <w:p w:rsidR="008B0C6B" w:rsidRPr="004840A1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EB6770">
              <w:rPr>
                <w:rFonts w:cs="Verdana"/>
                <w:b/>
                <w:color w:val="000000"/>
                <w:sz w:val="20"/>
                <w:szCs w:val="20"/>
              </w:rPr>
              <w:t xml:space="preserve">   per polveri FFP2</w:t>
            </w:r>
          </w:p>
          <w:p w:rsidR="008B0C6B" w:rsidRPr="004840A1" w:rsidRDefault="008B0C6B" w:rsidP="006A28B9">
            <w:pPr>
              <w:rPr>
                <w:rFonts w:cs="Verdana"/>
                <w:sz w:val="20"/>
                <w:szCs w:val="20"/>
              </w:rPr>
            </w:pPr>
            <w:r w:rsidRPr="00196EC0">
              <w:rPr>
                <w:rFonts w:eastAsiaTheme="minorEastAsia"/>
                <w:lang w:eastAsia="it-IT"/>
              </w:rPr>
              <w:object w:dxaOrig="1515" w:dyaOrig="1515">
                <v:shape id="_x0000_i1031" type="#_x0000_t75" style="width:76.5pt;height:67.5pt" o:ole="">
                  <v:imagedata r:id="rId19" o:title=""/>
                </v:shape>
                <o:OLEObject Type="Embed" ProgID="PBrush" ShapeID="_x0000_i1031" DrawAspect="Content" ObjectID="_1300527239" r:id="rId20"/>
              </w:object>
            </w:r>
          </w:p>
        </w:tc>
        <w:tc>
          <w:tcPr>
            <w:tcW w:w="2434" w:type="dxa"/>
          </w:tcPr>
          <w:p w:rsidR="008B0C6B" w:rsidRPr="00EB6770" w:rsidRDefault="008B0C6B" w:rsidP="006A28B9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  <w:p w:rsidR="008B0C6B" w:rsidRPr="00EB6770" w:rsidRDefault="008B0C6B" w:rsidP="006A28B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EB6770">
              <w:rPr>
                <w:sz w:val="20"/>
                <w:szCs w:val="20"/>
              </w:rPr>
              <w:t xml:space="preserve">Da utilizzare  durante l’uso  </w:t>
            </w:r>
            <w:r w:rsidRPr="00EB6770">
              <w:rPr>
                <w:rFonts w:cs="Verdana"/>
                <w:color w:val="000000"/>
                <w:sz w:val="20"/>
                <w:szCs w:val="20"/>
              </w:rPr>
              <w:t xml:space="preserve"> di mascherina per la protezione di polveri a media tossicità, fibre e aerosol a base acquosa di materiale particellare &gt;= 0,02 micron.</w:t>
            </w:r>
          </w:p>
        </w:tc>
        <w:tc>
          <w:tcPr>
            <w:tcW w:w="2431" w:type="dxa"/>
          </w:tcPr>
          <w:p w:rsidR="008B0C6B" w:rsidRPr="00EB6770" w:rsidRDefault="008B0C6B" w:rsidP="006A28B9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Rif</w:t>
            </w:r>
            <w:r w:rsidRPr="00EB6770">
              <w:rPr>
                <w:b/>
                <w:sz w:val="20"/>
                <w:szCs w:val="20"/>
              </w:rPr>
              <w:t xml:space="preserve">  Normativo Art  75-77-79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B6770">
              <w:rPr>
                <w:b/>
                <w:sz w:val="20"/>
                <w:szCs w:val="20"/>
              </w:rPr>
              <w:t xml:space="preserve"> del D.Lgs. n. 81/08        </w:t>
            </w:r>
          </w:p>
          <w:p w:rsidR="008B0C6B" w:rsidRPr="00EB6770" w:rsidRDefault="008B0C6B" w:rsidP="006A28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Allegato VIII  punti  3, 4</w:t>
            </w:r>
            <w:r w:rsidRPr="00EB6770">
              <w:rPr>
                <w:b/>
                <w:sz w:val="20"/>
                <w:szCs w:val="20"/>
              </w:rPr>
              <w:t xml:space="preserve"> n.4   del D.Lgs. n. 81/08</w:t>
            </w:r>
          </w:p>
          <w:p w:rsidR="008B0C6B" w:rsidRPr="00EB6770" w:rsidRDefault="008B0C6B" w:rsidP="006A28B9">
            <w:pPr>
              <w:rPr>
                <w:b/>
                <w:sz w:val="20"/>
                <w:szCs w:val="20"/>
              </w:rPr>
            </w:pPr>
            <w:r w:rsidRPr="00EB6770">
              <w:rPr>
                <w:b/>
                <w:sz w:val="20"/>
                <w:szCs w:val="20"/>
              </w:rPr>
              <w:t xml:space="preserve">UNI EN   149  </w:t>
            </w:r>
          </w:p>
          <w:p w:rsidR="008B0C6B" w:rsidRPr="00EB6770" w:rsidRDefault="008B0C6B" w:rsidP="006A28B9">
            <w:pPr>
              <w:rPr>
                <w:i/>
                <w:sz w:val="18"/>
                <w:szCs w:val="18"/>
              </w:rPr>
            </w:pPr>
            <w:r w:rsidRPr="00EB6770">
              <w:rPr>
                <w:i/>
                <w:sz w:val="18"/>
                <w:szCs w:val="18"/>
              </w:rPr>
              <w:t>Apparecchi di protezione delle vie respiratorie. Facciali filtranti antipolvere. Requisiti prove, marcatur</w:t>
            </w:r>
          </w:p>
        </w:tc>
      </w:tr>
      <w:tr w:rsidR="008B0C6B" w:rsidRPr="00EB6770" w:rsidTr="006A28B9">
        <w:trPr>
          <w:trHeight w:val="784"/>
        </w:trPr>
        <w:tc>
          <w:tcPr>
            <w:tcW w:w="2427" w:type="dxa"/>
          </w:tcPr>
          <w:p w:rsidR="008B0C6B" w:rsidRDefault="008B0C6B" w:rsidP="006A28B9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  <w:p w:rsidR="008B0C6B" w:rsidRPr="00280A15" w:rsidRDefault="008B0C6B" w:rsidP="006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Perdita di equilibrio da posizione elevata</w:t>
            </w:r>
          </w:p>
        </w:tc>
        <w:tc>
          <w:tcPr>
            <w:tcW w:w="2562" w:type="dxa"/>
          </w:tcPr>
          <w:p w:rsidR="008B0C6B" w:rsidRPr="00EB6770" w:rsidRDefault="008B0C6B" w:rsidP="006A28B9">
            <w:pPr>
              <w:tabs>
                <w:tab w:val="left" w:pos="1350"/>
              </w:tabs>
              <w:rPr>
                <w:sz w:val="20"/>
                <w:szCs w:val="20"/>
              </w:rPr>
            </w:pPr>
            <w:r>
              <w:t xml:space="preserve">  </w:t>
            </w:r>
            <w:r w:rsidRPr="00890CFC">
              <w:rPr>
                <w:b/>
              </w:rPr>
              <w:t>Cintura di sicurezza</w:t>
            </w:r>
            <w:r>
              <w:t xml:space="preserve">             </w:t>
            </w:r>
            <w:r w:rsidRPr="00196EC0">
              <w:rPr>
                <w:rFonts w:eastAsiaTheme="minorEastAsia"/>
                <w:lang w:eastAsia="it-IT"/>
              </w:rPr>
              <w:object w:dxaOrig="1230" w:dyaOrig="1230">
                <v:shape id="_x0000_i1032" type="#_x0000_t75" style="width:90pt;height:90pt" o:ole="">
                  <v:imagedata r:id="rId21" o:title=""/>
                </v:shape>
                <o:OLEObject Type="Embed" ProgID="PBrush" ShapeID="_x0000_i1032" DrawAspect="Content" ObjectID="_1300527240" r:id="rId22"/>
              </w:object>
            </w:r>
          </w:p>
        </w:tc>
        <w:tc>
          <w:tcPr>
            <w:tcW w:w="2434" w:type="dxa"/>
          </w:tcPr>
          <w:p w:rsidR="008B0C6B" w:rsidRPr="001F55BA" w:rsidRDefault="008B0C6B" w:rsidP="006A28B9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1F55BA">
              <w:rPr>
                <w:rFonts w:cs="TTE1C25C08t00"/>
                <w:sz w:val="19"/>
                <w:szCs w:val="19"/>
              </w:rPr>
              <w:t>Cintura di sicurezza</w:t>
            </w:r>
          </w:p>
          <w:p w:rsidR="008B0C6B" w:rsidRPr="001F55BA" w:rsidRDefault="008B0C6B" w:rsidP="006A28B9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1F55BA">
              <w:rPr>
                <w:rFonts w:cs="TTE1C25C08t00"/>
                <w:sz w:val="19"/>
                <w:szCs w:val="19"/>
              </w:rPr>
              <w:t>utilizzata in edilizia per la</w:t>
            </w:r>
          </w:p>
          <w:p w:rsidR="008B0C6B" w:rsidRPr="001F55BA" w:rsidRDefault="008B0C6B" w:rsidP="006A28B9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1F55BA">
              <w:rPr>
                <w:rFonts w:cs="TTE1C25C08t00"/>
                <w:sz w:val="19"/>
                <w:szCs w:val="19"/>
              </w:rPr>
              <w:t>prevenzione da caduta di</w:t>
            </w:r>
          </w:p>
          <w:p w:rsidR="008B0C6B" w:rsidRPr="001F55BA" w:rsidRDefault="008B0C6B" w:rsidP="006A28B9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1F55BA">
              <w:rPr>
                <w:rFonts w:cs="TTE1C25C08t00"/>
                <w:sz w:val="19"/>
                <w:szCs w:val="19"/>
              </w:rPr>
              <w:t>persone che lavorano in</w:t>
            </w:r>
          </w:p>
          <w:p w:rsidR="008B0C6B" w:rsidRPr="001F55BA" w:rsidRDefault="008B0C6B" w:rsidP="006A28B9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1F55BA">
              <w:rPr>
                <w:rFonts w:cs="TTE1C25C08t00"/>
                <w:sz w:val="19"/>
                <w:szCs w:val="19"/>
              </w:rPr>
              <w:t>altezza su scale o</w:t>
            </w:r>
          </w:p>
          <w:p w:rsidR="008B0C6B" w:rsidRPr="001F55BA" w:rsidRDefault="008B0C6B" w:rsidP="006A28B9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1F55BA">
              <w:rPr>
                <w:rFonts w:cs="TTE1C25C08t00"/>
                <w:sz w:val="19"/>
                <w:szCs w:val="19"/>
              </w:rPr>
              <w:t>ponteggi. Da utilizzare con</w:t>
            </w:r>
          </w:p>
          <w:p w:rsidR="008B0C6B" w:rsidRPr="00EB6770" w:rsidRDefault="008B0C6B" w:rsidP="006A28B9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1F55BA">
              <w:rPr>
                <w:rFonts w:cs="TTE1C25C08t00"/>
                <w:sz w:val="19"/>
                <w:szCs w:val="19"/>
              </w:rPr>
              <w:t>cordino di sostegno</w:t>
            </w:r>
          </w:p>
        </w:tc>
        <w:tc>
          <w:tcPr>
            <w:tcW w:w="2431" w:type="dxa"/>
          </w:tcPr>
          <w:p w:rsidR="008B0C6B" w:rsidRPr="00EB6770" w:rsidRDefault="008B0C6B" w:rsidP="006A28B9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Rif</w:t>
            </w:r>
            <w:r w:rsidRPr="00EB6770">
              <w:rPr>
                <w:b/>
                <w:sz w:val="20"/>
                <w:szCs w:val="20"/>
              </w:rPr>
              <w:t xml:space="preserve">  Normativo Art  75-77-79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B6770">
              <w:rPr>
                <w:b/>
                <w:sz w:val="20"/>
                <w:szCs w:val="20"/>
              </w:rPr>
              <w:t xml:space="preserve"> del D.Lgs. n. 81/08        </w:t>
            </w:r>
          </w:p>
          <w:p w:rsidR="008B0C6B" w:rsidRPr="00EB6770" w:rsidRDefault="008B0C6B" w:rsidP="006A28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Allegato VIII  punti 3,4  n.9</w:t>
            </w:r>
            <w:r w:rsidRPr="00EB6770">
              <w:rPr>
                <w:b/>
                <w:sz w:val="20"/>
                <w:szCs w:val="20"/>
              </w:rPr>
              <w:t xml:space="preserve">  del D.Lgs. n. 81/08</w:t>
            </w:r>
          </w:p>
          <w:p w:rsidR="008B0C6B" w:rsidRDefault="008B0C6B" w:rsidP="006A28B9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  <w:r w:rsidRPr="00EB6770">
              <w:rPr>
                <w:b/>
                <w:sz w:val="20"/>
                <w:szCs w:val="20"/>
              </w:rPr>
              <w:t xml:space="preserve">UNI EN   149  </w:t>
            </w:r>
          </w:p>
          <w:p w:rsidR="008B0C6B" w:rsidRPr="001F55BA" w:rsidRDefault="008B0C6B" w:rsidP="006A28B9">
            <w:pPr>
              <w:autoSpaceDE w:val="0"/>
              <w:autoSpaceDN w:val="0"/>
              <w:adjustRightInd w:val="0"/>
              <w:rPr>
                <w:rFonts w:cs="TTE174BD78t00"/>
                <w:i/>
                <w:sz w:val="17"/>
                <w:szCs w:val="17"/>
              </w:rPr>
            </w:pPr>
            <w:r>
              <w:rPr>
                <w:rFonts w:cs="TTE174BD78t00"/>
                <w:i/>
                <w:sz w:val="17"/>
                <w:szCs w:val="17"/>
              </w:rPr>
              <w:t xml:space="preserve">Specifiche per dispositivi di protezione </w:t>
            </w:r>
            <w:r w:rsidRPr="001F55BA">
              <w:rPr>
                <w:rFonts w:cs="TTE174BD78t00"/>
                <w:i/>
                <w:sz w:val="17"/>
                <w:szCs w:val="17"/>
              </w:rPr>
              <w:t>individuale contro le</w:t>
            </w:r>
          </w:p>
          <w:p w:rsidR="008B0C6B" w:rsidRPr="001F55BA" w:rsidRDefault="008B0C6B" w:rsidP="006A28B9">
            <w:pPr>
              <w:autoSpaceDE w:val="0"/>
              <w:autoSpaceDN w:val="0"/>
              <w:adjustRightInd w:val="0"/>
              <w:rPr>
                <w:rFonts w:cs="TTE174BD78t00"/>
                <w:i/>
                <w:sz w:val="17"/>
                <w:szCs w:val="17"/>
              </w:rPr>
            </w:pPr>
            <w:r>
              <w:rPr>
                <w:rFonts w:cs="TTE174BD78t00"/>
                <w:i/>
                <w:sz w:val="17"/>
                <w:szCs w:val="17"/>
              </w:rPr>
              <w:t xml:space="preserve">cadute dall'alto. </w:t>
            </w:r>
            <w:r w:rsidRPr="001F55BA">
              <w:rPr>
                <w:rFonts w:cs="TTE174BD78t00"/>
                <w:i/>
                <w:sz w:val="17"/>
                <w:szCs w:val="17"/>
              </w:rPr>
              <w:t>Imbracature per il</w:t>
            </w:r>
          </w:p>
          <w:p w:rsidR="008B0C6B" w:rsidRPr="001F55BA" w:rsidRDefault="008B0C6B" w:rsidP="006A28B9">
            <w:pPr>
              <w:rPr>
                <w:i/>
                <w:sz w:val="18"/>
                <w:szCs w:val="18"/>
              </w:rPr>
            </w:pPr>
          </w:p>
        </w:tc>
      </w:tr>
    </w:tbl>
    <w:p w:rsidR="008B0C6B" w:rsidRDefault="008B0C6B" w:rsidP="008B0C6B"/>
    <w:p w:rsidR="00E3786A" w:rsidRDefault="00E3786A"/>
    <w:sectPr w:rsidR="00E3786A" w:rsidSect="00757A6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E84" w:rsidRDefault="00925E84" w:rsidP="002C6E75">
      <w:pPr>
        <w:spacing w:after="0" w:line="240" w:lineRule="auto"/>
      </w:pPr>
      <w:r>
        <w:separator/>
      </w:r>
    </w:p>
  </w:endnote>
  <w:endnote w:type="continuationSeparator" w:id="1">
    <w:p w:rsidR="00925E84" w:rsidRDefault="00925E84" w:rsidP="002C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TE15ED6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C25C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4B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00896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75" w:rsidRDefault="002C6E7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75" w:rsidRDefault="002C6E75" w:rsidP="002C6E75">
    <w:pPr>
      <w:pStyle w:val="Pidipagina"/>
    </w:pPr>
    <w:r>
      <w:rPr>
        <w:color w:val="595959"/>
        <w:sz w:val="16"/>
        <w:szCs w:val="16"/>
      </w:rPr>
      <w:t>P.O.S</w:t>
    </w:r>
    <w:r>
      <w:t xml:space="preserve">.  </w:t>
    </w:r>
    <w:r>
      <w:rPr>
        <w:i/>
        <w:color w:val="595959"/>
        <w:sz w:val="16"/>
        <w:szCs w:val="16"/>
      </w:rPr>
      <w:t>Impresa Edile  Costruzioni Generali S.a.s.                                                                           De Riggi</w:t>
    </w:r>
    <w:r>
      <w:t xml:space="preserve"> </w:t>
    </w:r>
  </w:p>
  <w:p w:rsidR="002C6E75" w:rsidRDefault="002C6E7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75" w:rsidRDefault="002C6E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E84" w:rsidRDefault="00925E84" w:rsidP="002C6E75">
      <w:pPr>
        <w:spacing w:after="0" w:line="240" w:lineRule="auto"/>
      </w:pPr>
      <w:r>
        <w:separator/>
      </w:r>
    </w:p>
  </w:footnote>
  <w:footnote w:type="continuationSeparator" w:id="1">
    <w:p w:rsidR="00925E84" w:rsidRDefault="00925E84" w:rsidP="002C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75" w:rsidRDefault="002C6E7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75" w:rsidRDefault="002C6E7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75" w:rsidRDefault="002C6E7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1EF437BB"/>
    <w:multiLevelType w:val="hybridMultilevel"/>
    <w:tmpl w:val="49D28A4A"/>
    <w:lvl w:ilvl="0" w:tplc="9A40171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37522F"/>
    <w:multiLevelType w:val="hybridMultilevel"/>
    <w:tmpl w:val="BC4A0D22"/>
    <w:lvl w:ilvl="0" w:tplc="2BAE08F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531766"/>
    <w:multiLevelType w:val="hybridMultilevel"/>
    <w:tmpl w:val="495A9830"/>
    <w:lvl w:ilvl="0" w:tplc="F5C666C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0C6B"/>
    <w:rsid w:val="002C6E75"/>
    <w:rsid w:val="00757A63"/>
    <w:rsid w:val="008B0C6B"/>
    <w:rsid w:val="00925E84"/>
    <w:rsid w:val="00E3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A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B0C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0C6B"/>
    <w:pPr>
      <w:ind w:left="720"/>
      <w:contextualSpacing/>
    </w:pPr>
    <w:rPr>
      <w:rFonts w:eastAsiaTheme="minorHAnsi"/>
      <w:lang w:eastAsia="en-US"/>
    </w:rPr>
  </w:style>
  <w:style w:type="paragraph" w:styleId="Nessunaspaziatura">
    <w:name w:val="No Spacing"/>
    <w:uiPriority w:val="1"/>
    <w:qFormat/>
    <w:rsid w:val="008B0C6B"/>
    <w:pPr>
      <w:spacing w:after="0" w:line="240" w:lineRule="auto"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6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6E75"/>
  </w:style>
  <w:style w:type="paragraph" w:styleId="Pidipagina">
    <w:name w:val="footer"/>
    <w:basedOn w:val="Normale"/>
    <w:link w:val="PidipaginaCarattere"/>
    <w:uiPriority w:val="99"/>
    <w:semiHidden/>
    <w:unhideWhenUsed/>
    <w:rsid w:val="002C6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6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8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1774</Words>
  <Characters>10116</Characters>
  <Application>Microsoft Office Word</Application>
  <DocSecurity>0</DocSecurity>
  <Lines>84</Lines>
  <Paragraphs>23</Paragraphs>
  <ScaleCrop>false</ScaleCrop>
  <Company>Privato</Company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2009-04-03T08:33:00Z</dcterms:created>
  <dcterms:modified xsi:type="dcterms:W3CDTF">2009-04-06T10:47:00Z</dcterms:modified>
</cp:coreProperties>
</file>